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595CB" w14:textId="77777777" w:rsidR="000A09EB" w:rsidRPr="00CB7AAB" w:rsidRDefault="000A09EB" w:rsidP="000A09EB">
      <w:pPr>
        <w:spacing w:after="0"/>
        <w:jc w:val="center"/>
        <w:rPr>
          <w:rFonts w:ascii="Verdana" w:hAnsi="Verdana"/>
          <w:b/>
          <w:bCs/>
          <w:sz w:val="20"/>
          <w:szCs w:val="20"/>
        </w:rPr>
      </w:pPr>
      <w:r w:rsidRPr="00CB7AAB">
        <w:rPr>
          <w:rFonts w:ascii="Verdana" w:hAnsi="Verdana"/>
          <w:b/>
          <w:bCs/>
          <w:sz w:val="20"/>
          <w:szCs w:val="20"/>
        </w:rPr>
        <w:t>PARTE 3</w:t>
      </w:r>
    </w:p>
    <w:p w14:paraId="4F805427" w14:textId="77777777" w:rsidR="000A09EB" w:rsidRPr="00CB7AAB" w:rsidRDefault="000A09EB" w:rsidP="000A09EB">
      <w:pPr>
        <w:spacing w:after="0"/>
        <w:jc w:val="center"/>
        <w:rPr>
          <w:rFonts w:ascii="Verdana" w:hAnsi="Verdana"/>
          <w:b/>
          <w:bCs/>
          <w:sz w:val="20"/>
          <w:szCs w:val="20"/>
        </w:rPr>
      </w:pPr>
      <w:r w:rsidRPr="00CB7AAB">
        <w:rPr>
          <w:rFonts w:ascii="Verdana" w:hAnsi="Verdana"/>
          <w:b/>
          <w:bCs/>
          <w:sz w:val="20"/>
          <w:szCs w:val="20"/>
        </w:rPr>
        <w:t>INFORMACIÓN FINANCIERA Y ESQUEMAS DE REPORTE</w:t>
      </w:r>
    </w:p>
    <w:p w14:paraId="6000F327" w14:textId="1CFF94A1" w:rsidR="0006736C" w:rsidRPr="00CB7AAB" w:rsidRDefault="0006736C" w:rsidP="00721D02">
      <w:pPr>
        <w:spacing w:after="0"/>
        <w:jc w:val="center"/>
        <w:rPr>
          <w:rFonts w:ascii="Verdana" w:hAnsi="Verdana"/>
          <w:b/>
          <w:bCs/>
          <w:sz w:val="20"/>
          <w:szCs w:val="20"/>
        </w:rPr>
      </w:pPr>
    </w:p>
    <w:p w14:paraId="438B98D3" w14:textId="59DDC6F8" w:rsidR="00A41E5E" w:rsidRPr="00CB7AAB" w:rsidRDefault="00A41E5E" w:rsidP="00721D02">
      <w:pPr>
        <w:spacing w:after="0"/>
        <w:jc w:val="center"/>
        <w:rPr>
          <w:rFonts w:ascii="Verdana" w:hAnsi="Verdana"/>
          <w:b/>
          <w:bCs/>
          <w:sz w:val="20"/>
          <w:szCs w:val="20"/>
        </w:rPr>
      </w:pPr>
      <w:r w:rsidRPr="00CB7AAB">
        <w:rPr>
          <w:rFonts w:ascii="Verdana" w:hAnsi="Verdana"/>
          <w:b/>
          <w:bCs/>
          <w:sz w:val="20"/>
          <w:szCs w:val="20"/>
        </w:rPr>
        <w:t xml:space="preserve">CAPÍTULO </w:t>
      </w:r>
      <w:r w:rsidR="00F66145" w:rsidRPr="00CB7AAB">
        <w:rPr>
          <w:rFonts w:ascii="Verdana" w:hAnsi="Verdana"/>
          <w:b/>
          <w:bCs/>
          <w:sz w:val="20"/>
          <w:szCs w:val="20"/>
        </w:rPr>
        <w:t>10</w:t>
      </w:r>
    </w:p>
    <w:p w14:paraId="3F9900A3" w14:textId="517F5890" w:rsidR="00DA0C0E" w:rsidRPr="00CB7AAB" w:rsidRDefault="00F66145" w:rsidP="00721D02">
      <w:pPr>
        <w:spacing w:after="0"/>
        <w:jc w:val="center"/>
        <w:rPr>
          <w:rFonts w:ascii="Verdana" w:hAnsi="Verdana"/>
          <w:b/>
          <w:sz w:val="20"/>
          <w:szCs w:val="20"/>
          <w:lang w:val="es-ES_tradnl"/>
        </w:rPr>
      </w:pPr>
      <w:r w:rsidRPr="000A09EB">
        <w:rPr>
          <w:rFonts w:ascii="Verdana" w:hAnsi="Verdana"/>
          <w:b/>
          <w:sz w:val="20"/>
          <w:szCs w:val="20"/>
          <w:lang w:val="es-ES_tradnl"/>
        </w:rPr>
        <w:t>CRÉDITO MERCANTÍL O FONDO DE COMERCIO</w:t>
      </w:r>
    </w:p>
    <w:p w14:paraId="6E9EB942" w14:textId="77777777" w:rsidR="00746AC4" w:rsidRPr="00CB7AAB" w:rsidRDefault="00746AC4" w:rsidP="00721D02">
      <w:pPr>
        <w:spacing w:after="0"/>
        <w:jc w:val="center"/>
        <w:rPr>
          <w:rFonts w:ascii="Verdana" w:hAnsi="Verdana"/>
          <w:b/>
          <w:bCs/>
          <w:sz w:val="20"/>
          <w:szCs w:val="20"/>
        </w:rPr>
      </w:pPr>
    </w:p>
    <w:p w14:paraId="3AEDBD8A" w14:textId="77777777" w:rsidR="00721D02" w:rsidRPr="00CB7AAB" w:rsidRDefault="00721D02" w:rsidP="00721D02">
      <w:pPr>
        <w:spacing w:after="0"/>
        <w:jc w:val="center"/>
        <w:rPr>
          <w:rFonts w:ascii="Verdana" w:hAnsi="Verdana"/>
          <w:b/>
          <w:bCs/>
          <w:sz w:val="20"/>
          <w:szCs w:val="20"/>
        </w:rPr>
      </w:pPr>
    </w:p>
    <w:p w14:paraId="59258E65" w14:textId="318ABB20" w:rsidR="000A09EB" w:rsidRPr="000A09EB" w:rsidRDefault="00E52ADE" w:rsidP="00746AC4">
      <w:pPr>
        <w:spacing w:after="0"/>
        <w:jc w:val="both"/>
        <w:rPr>
          <w:rFonts w:ascii="Verdana" w:hAnsi="Verdana"/>
          <w:b/>
          <w:sz w:val="20"/>
          <w:szCs w:val="20"/>
          <w:lang w:val="es-ES_tradnl"/>
        </w:rPr>
      </w:pPr>
      <w:r w:rsidRPr="000A09EB">
        <w:rPr>
          <w:rFonts w:ascii="Verdana" w:hAnsi="Verdana"/>
          <w:b/>
          <w:sz w:val="20"/>
          <w:szCs w:val="20"/>
          <w:lang w:val="es-ES_tradnl"/>
        </w:rPr>
        <w:t>ÁMBITO DE APLICACIÓN</w:t>
      </w:r>
    </w:p>
    <w:p w14:paraId="10D49DC6" w14:textId="77777777" w:rsidR="000A09EB" w:rsidRPr="000A09EB" w:rsidRDefault="000A09EB" w:rsidP="000A09EB">
      <w:pPr>
        <w:spacing w:after="0"/>
        <w:jc w:val="both"/>
        <w:rPr>
          <w:rFonts w:ascii="Verdana" w:hAnsi="Verdana"/>
          <w:bCs/>
          <w:sz w:val="20"/>
          <w:szCs w:val="20"/>
          <w:lang w:val="es-ES_tradnl"/>
        </w:rPr>
      </w:pPr>
    </w:p>
    <w:p w14:paraId="3A8D19C5" w14:textId="77777777" w:rsidR="00EC0C34" w:rsidRDefault="00EC0C34" w:rsidP="000A09EB">
      <w:pPr>
        <w:spacing w:after="0"/>
        <w:jc w:val="both"/>
        <w:rPr>
          <w:rFonts w:ascii="Verdana" w:hAnsi="Verdana"/>
          <w:bCs/>
          <w:sz w:val="20"/>
          <w:szCs w:val="20"/>
          <w:lang w:val="es-ES_tradnl"/>
        </w:rPr>
      </w:pPr>
      <w:r>
        <w:rPr>
          <w:rFonts w:ascii="Verdana" w:hAnsi="Verdana"/>
          <w:bCs/>
          <w:sz w:val="20"/>
          <w:szCs w:val="20"/>
          <w:lang w:val="es-ES_tradnl"/>
        </w:rPr>
        <w:t>3.10.1.</w:t>
      </w:r>
    </w:p>
    <w:p w14:paraId="47B569AE" w14:textId="62FAF73E" w:rsidR="000A09EB" w:rsidRPr="000A09EB" w:rsidRDefault="000A09EB" w:rsidP="000A09EB">
      <w:pPr>
        <w:spacing w:after="0"/>
        <w:jc w:val="both"/>
        <w:rPr>
          <w:rFonts w:ascii="Verdana" w:hAnsi="Verdana"/>
          <w:bCs/>
          <w:sz w:val="20"/>
          <w:szCs w:val="20"/>
          <w:lang w:val="es-ES_tradnl"/>
        </w:rPr>
      </w:pPr>
      <w:r w:rsidRPr="000A09EB">
        <w:rPr>
          <w:rFonts w:ascii="Verdana" w:hAnsi="Verdana"/>
          <w:bCs/>
          <w:sz w:val="20"/>
          <w:szCs w:val="20"/>
          <w:lang w:val="es-ES_tradnl"/>
        </w:rPr>
        <w:t xml:space="preserve">Las instrucciones del presente </w:t>
      </w:r>
      <w:r w:rsidR="002528CB">
        <w:rPr>
          <w:rFonts w:ascii="Verdana" w:hAnsi="Verdana"/>
          <w:bCs/>
          <w:sz w:val="20"/>
          <w:szCs w:val="20"/>
          <w:lang w:val="es-ES_tradnl"/>
        </w:rPr>
        <w:t>c</w:t>
      </w:r>
      <w:r w:rsidRPr="000A09EB">
        <w:rPr>
          <w:rFonts w:ascii="Verdana" w:hAnsi="Verdana"/>
          <w:bCs/>
          <w:sz w:val="20"/>
          <w:szCs w:val="20"/>
          <w:lang w:val="es-ES_tradnl"/>
        </w:rPr>
        <w:t>apítulo son aplicables a todas las entidades vigiladas por la Superintendencia Financiera de Colombia (SFC), en relación el crédito mercantil o fondo de comercio adquirido como resultado de una combinación de negocios.</w:t>
      </w:r>
    </w:p>
    <w:p w14:paraId="15A40D42" w14:textId="77777777" w:rsidR="000A09EB" w:rsidRPr="000A09EB" w:rsidRDefault="000A09EB" w:rsidP="000A09EB">
      <w:pPr>
        <w:spacing w:after="0"/>
        <w:jc w:val="both"/>
        <w:rPr>
          <w:rFonts w:ascii="Verdana" w:hAnsi="Verdana"/>
          <w:b/>
          <w:sz w:val="20"/>
          <w:szCs w:val="20"/>
          <w:lang w:val="es-ES_tradnl"/>
        </w:rPr>
      </w:pPr>
    </w:p>
    <w:p w14:paraId="519D56AC" w14:textId="636F2884" w:rsidR="000A09EB" w:rsidRPr="000A09EB" w:rsidRDefault="00E52ADE" w:rsidP="00746AC4">
      <w:pPr>
        <w:spacing w:after="0"/>
        <w:jc w:val="both"/>
        <w:rPr>
          <w:rFonts w:ascii="Verdana" w:hAnsi="Verdana"/>
          <w:b/>
          <w:sz w:val="20"/>
          <w:szCs w:val="20"/>
          <w:lang w:val="es-ES_tradnl"/>
        </w:rPr>
      </w:pPr>
      <w:r w:rsidRPr="000A09EB">
        <w:rPr>
          <w:rFonts w:ascii="Verdana" w:hAnsi="Verdana"/>
          <w:b/>
          <w:sz w:val="20"/>
          <w:szCs w:val="20"/>
          <w:lang w:val="es-ES_tradnl"/>
        </w:rPr>
        <w:t>REGLAS GENERALES</w:t>
      </w:r>
    </w:p>
    <w:p w14:paraId="1C12D915" w14:textId="77777777" w:rsidR="000A09EB" w:rsidRPr="000A09EB" w:rsidRDefault="000A09EB" w:rsidP="000A09EB">
      <w:pPr>
        <w:spacing w:after="0"/>
        <w:jc w:val="both"/>
        <w:rPr>
          <w:rFonts w:ascii="Verdana" w:hAnsi="Verdana"/>
          <w:b/>
          <w:sz w:val="20"/>
          <w:szCs w:val="20"/>
          <w:lang w:val="es-ES_tradnl"/>
        </w:rPr>
      </w:pPr>
    </w:p>
    <w:p w14:paraId="066BC1AC" w14:textId="44F9EFE2"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3.10.2.</w:t>
      </w:r>
    </w:p>
    <w:p w14:paraId="1A1EB0E1" w14:textId="4C1B5B7E" w:rsidR="000A09EB" w:rsidRPr="000A09EB" w:rsidRDefault="000A09EB" w:rsidP="000A09EB">
      <w:pPr>
        <w:spacing w:after="0"/>
        <w:jc w:val="both"/>
        <w:rPr>
          <w:rFonts w:ascii="Verdana" w:hAnsi="Verdana"/>
          <w:bCs/>
          <w:sz w:val="20"/>
          <w:szCs w:val="20"/>
          <w:lang w:val="es-ES_tradnl"/>
        </w:rPr>
      </w:pPr>
      <w:r w:rsidRPr="000A09EB">
        <w:rPr>
          <w:rFonts w:ascii="Verdana" w:hAnsi="Verdana"/>
          <w:bCs/>
          <w:sz w:val="20"/>
          <w:szCs w:val="20"/>
          <w:lang w:val="es-ES_tradnl"/>
        </w:rPr>
        <w:t xml:space="preserve">Para efectos del reconocimiento, medición y demás aspectos contables relacionados con el crédito mercantil o fondo de comercio adquirido como resultado de una combinación de negocios, las entidades vigiladas por la SFC deben dar cumplimiento a las normas internacionales adoptadas mediante los marcos técnicos normativos de información financiera y de aseguramiento, así como a las instrucciones especiales previstas en el presente </w:t>
      </w:r>
      <w:r w:rsidR="00E52ADE">
        <w:rPr>
          <w:rFonts w:ascii="Verdana" w:hAnsi="Verdana"/>
          <w:bCs/>
          <w:sz w:val="20"/>
          <w:szCs w:val="20"/>
          <w:lang w:val="es-ES_tradnl"/>
        </w:rPr>
        <w:t>c</w:t>
      </w:r>
      <w:r w:rsidRPr="000A09EB">
        <w:rPr>
          <w:rFonts w:ascii="Verdana" w:hAnsi="Verdana"/>
          <w:bCs/>
          <w:sz w:val="20"/>
          <w:szCs w:val="20"/>
          <w:lang w:val="es-ES_tradnl"/>
        </w:rPr>
        <w:t xml:space="preserve">apítulo. </w:t>
      </w:r>
    </w:p>
    <w:p w14:paraId="26746EB2" w14:textId="77777777" w:rsidR="000A09EB" w:rsidRPr="000A09EB" w:rsidRDefault="000A09EB" w:rsidP="000A09EB">
      <w:pPr>
        <w:spacing w:after="0"/>
        <w:jc w:val="both"/>
        <w:rPr>
          <w:rFonts w:ascii="Verdana" w:hAnsi="Verdana"/>
          <w:b/>
          <w:sz w:val="20"/>
          <w:szCs w:val="20"/>
          <w:lang w:val="es-ES_tradnl"/>
        </w:rPr>
      </w:pPr>
    </w:p>
    <w:p w14:paraId="4374986E" w14:textId="3F3B056B"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3.10.3.</w:t>
      </w:r>
    </w:p>
    <w:p w14:paraId="5BC77D07" w14:textId="77777777" w:rsidR="000A09EB" w:rsidRPr="000A09EB" w:rsidRDefault="000A09EB" w:rsidP="000A09EB">
      <w:pPr>
        <w:spacing w:after="0"/>
        <w:jc w:val="both"/>
        <w:rPr>
          <w:rFonts w:ascii="Verdana" w:hAnsi="Verdana"/>
          <w:bCs/>
          <w:sz w:val="20"/>
          <w:szCs w:val="20"/>
          <w:lang w:val="es-ES_tradnl"/>
        </w:rPr>
      </w:pPr>
      <w:r w:rsidRPr="000A09EB">
        <w:rPr>
          <w:rFonts w:ascii="Verdana" w:hAnsi="Verdana"/>
          <w:bCs/>
          <w:sz w:val="20"/>
          <w:szCs w:val="20"/>
          <w:lang w:val="es-ES_tradnl"/>
        </w:rPr>
        <w:t>En desarrollo del deber de colaboración previsto en el numeral 3 del artículo 207 del Código de Comercio, el revisor fiscal deberá informar a esta Superintendencia los resultados de su revisión respecto del crédito mercantil adquirido, los resultados de las pruebas de deterioro realizadas por la entidad, y sus efectos en los estados financieros de la entidad adquirente.</w:t>
      </w:r>
    </w:p>
    <w:p w14:paraId="2E47628E" w14:textId="77777777" w:rsidR="00746AC4" w:rsidRPr="00CB7AAB" w:rsidRDefault="00746AC4" w:rsidP="00746AC4">
      <w:pPr>
        <w:spacing w:after="0"/>
        <w:jc w:val="both"/>
        <w:rPr>
          <w:rFonts w:ascii="Verdana" w:hAnsi="Verdana"/>
          <w:b/>
          <w:sz w:val="20"/>
          <w:szCs w:val="20"/>
          <w:lang w:val="es-ES_tradnl"/>
        </w:rPr>
      </w:pPr>
    </w:p>
    <w:p w14:paraId="198C7065" w14:textId="3D3ED392" w:rsidR="000A09EB" w:rsidRPr="000A09EB" w:rsidRDefault="000A09EB" w:rsidP="00746AC4">
      <w:pPr>
        <w:spacing w:after="0"/>
        <w:jc w:val="both"/>
        <w:rPr>
          <w:rFonts w:ascii="Verdana" w:hAnsi="Verdana"/>
          <w:b/>
          <w:sz w:val="20"/>
          <w:szCs w:val="20"/>
          <w:lang w:val="es-ES_tradnl"/>
        </w:rPr>
      </w:pPr>
      <w:r w:rsidRPr="000A09EB">
        <w:rPr>
          <w:rFonts w:ascii="Verdana" w:hAnsi="Verdana"/>
          <w:b/>
          <w:sz w:val="20"/>
          <w:szCs w:val="20"/>
          <w:lang w:val="es-ES_tradnl"/>
        </w:rPr>
        <w:t>Reconocimiento y deterioro del crédito mercantil o fondo de comercio</w:t>
      </w:r>
    </w:p>
    <w:p w14:paraId="3BC0A38A" w14:textId="77777777" w:rsidR="000A09EB" w:rsidRPr="000A09EB" w:rsidRDefault="000A09EB" w:rsidP="000A09EB">
      <w:pPr>
        <w:spacing w:after="0"/>
        <w:jc w:val="both"/>
        <w:rPr>
          <w:rFonts w:ascii="Verdana" w:hAnsi="Verdana"/>
          <w:b/>
          <w:sz w:val="20"/>
          <w:szCs w:val="20"/>
          <w:lang w:val="es-ES_tradnl"/>
        </w:rPr>
      </w:pPr>
    </w:p>
    <w:p w14:paraId="564B9EE1" w14:textId="5D45072B"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3.10.4.</w:t>
      </w:r>
    </w:p>
    <w:p w14:paraId="684EBE98" w14:textId="77777777" w:rsidR="000A09EB" w:rsidRPr="000A09EB" w:rsidRDefault="000A09EB" w:rsidP="000A09EB">
      <w:pPr>
        <w:spacing w:after="0"/>
        <w:jc w:val="both"/>
        <w:rPr>
          <w:rFonts w:ascii="Verdana" w:hAnsi="Verdana"/>
          <w:bCs/>
          <w:sz w:val="20"/>
          <w:szCs w:val="20"/>
          <w:lang w:val="es-ES_tradnl"/>
        </w:rPr>
      </w:pPr>
      <w:r w:rsidRPr="000A09EB">
        <w:rPr>
          <w:rFonts w:ascii="Verdana" w:hAnsi="Verdana"/>
          <w:bCs/>
          <w:sz w:val="20"/>
          <w:szCs w:val="20"/>
          <w:lang w:val="es-ES_tradnl"/>
        </w:rPr>
        <w:t xml:space="preserve">El reconocimiento del crédito mercantil adquirido, positivo o negativo, debe cumplir los requisitos previstos en los marcos técnicos normativos de información financiera y de aseguramiento. </w:t>
      </w:r>
    </w:p>
    <w:p w14:paraId="2FF2C8C7" w14:textId="77777777" w:rsidR="000A09EB" w:rsidRPr="000A09EB" w:rsidRDefault="000A09EB" w:rsidP="000A09EB">
      <w:pPr>
        <w:spacing w:after="0"/>
        <w:jc w:val="both"/>
        <w:rPr>
          <w:rFonts w:ascii="Verdana" w:hAnsi="Verdana"/>
          <w:bCs/>
          <w:sz w:val="20"/>
          <w:szCs w:val="20"/>
          <w:lang w:val="es-ES_tradnl"/>
        </w:rPr>
      </w:pPr>
    </w:p>
    <w:p w14:paraId="3C30D5C9" w14:textId="16125482"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3.10.5.</w:t>
      </w:r>
    </w:p>
    <w:p w14:paraId="100D41ED" w14:textId="77777777" w:rsidR="000A09EB" w:rsidRPr="000A09EB" w:rsidRDefault="000A09EB" w:rsidP="000A09EB">
      <w:pPr>
        <w:spacing w:after="0"/>
        <w:jc w:val="both"/>
        <w:rPr>
          <w:rFonts w:ascii="Verdana" w:hAnsi="Verdana"/>
          <w:sz w:val="20"/>
          <w:szCs w:val="20"/>
          <w:lang w:val="es-ES_tradnl"/>
        </w:rPr>
      </w:pPr>
      <w:r w:rsidRPr="000A09EB">
        <w:rPr>
          <w:rFonts w:ascii="Verdana" w:hAnsi="Verdana"/>
          <w:sz w:val="20"/>
          <w:szCs w:val="20"/>
          <w:lang w:val="es-ES_tradnl"/>
        </w:rPr>
        <w:t>En todo caso, no habrá lugar al reconocimiento del crédito mercantil generado internamente, y tampoco al crédito mercantil adquirido cuando se trate de adquisiciones entre entidades controlantes y controladas o subordinadas, o entre entidades que tengan un mismo controlante o controlantes, o entre entidades que pertenecen a un mismo conglomerado financiero, o entre entidades que conforman un mismo grupo empresarial.</w:t>
      </w:r>
    </w:p>
    <w:p w14:paraId="67A6ED73" w14:textId="77777777" w:rsidR="000A09EB" w:rsidRPr="000A09EB" w:rsidRDefault="000A09EB" w:rsidP="000A09EB">
      <w:pPr>
        <w:spacing w:after="0"/>
        <w:jc w:val="both"/>
        <w:rPr>
          <w:rFonts w:ascii="Verdana" w:hAnsi="Verdana"/>
          <w:sz w:val="20"/>
          <w:szCs w:val="20"/>
          <w:lang w:val="es-ES_tradnl"/>
        </w:rPr>
      </w:pPr>
    </w:p>
    <w:p w14:paraId="5840CA14" w14:textId="22ACCE17"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3.10.6.</w:t>
      </w:r>
    </w:p>
    <w:p w14:paraId="09F03224" w14:textId="1D30C406" w:rsidR="000A09EB" w:rsidRPr="000A09EB" w:rsidRDefault="000A09EB" w:rsidP="16C0BCDC">
      <w:pPr>
        <w:spacing w:after="0"/>
        <w:jc w:val="both"/>
        <w:rPr>
          <w:rFonts w:ascii="Verdana" w:hAnsi="Verdana"/>
          <w:sz w:val="20"/>
          <w:szCs w:val="20"/>
          <w:lang w:val="es-ES"/>
        </w:rPr>
      </w:pPr>
      <w:r w:rsidRPr="16C0BCDC">
        <w:rPr>
          <w:rFonts w:ascii="Verdana" w:hAnsi="Verdana"/>
          <w:sz w:val="20"/>
          <w:szCs w:val="20"/>
          <w:lang w:val="es-ES"/>
        </w:rPr>
        <w:t xml:space="preserve">De conformidad con los marcos técnicos normativos de información financiera y de aseguramiento, el valor del crédito mercantil adquirido reconocido debe evaluarse al menos una vez al año, a partir de una prueba de deterioro que tenga en cuenta metodologías de valoración de amplia aceptación técnica, información macroeconómica y financiera histórica y prospectiva, así como supuestos razonables y comprobables. Toda la documentación relacionada con el reconocimiento inicial del crédito mercantil y las pruebas de deterioro debe remitirse a la SFC. </w:t>
      </w:r>
    </w:p>
    <w:p w14:paraId="5EC04EFE" w14:textId="77777777" w:rsidR="000A09EB" w:rsidRPr="000A09EB" w:rsidRDefault="000A09EB" w:rsidP="000A09EB">
      <w:pPr>
        <w:spacing w:after="0"/>
        <w:jc w:val="both"/>
        <w:rPr>
          <w:rFonts w:ascii="Verdana" w:hAnsi="Verdana"/>
          <w:sz w:val="20"/>
          <w:szCs w:val="20"/>
          <w:lang w:val="es-ES_tradnl"/>
        </w:rPr>
      </w:pPr>
    </w:p>
    <w:p w14:paraId="5A6B1861" w14:textId="7B772074"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3.10.7.</w:t>
      </w:r>
    </w:p>
    <w:p w14:paraId="12A33DCB" w14:textId="77777777" w:rsidR="000A09EB" w:rsidRPr="000A09EB" w:rsidRDefault="000A09EB" w:rsidP="000A09EB">
      <w:pPr>
        <w:spacing w:after="0"/>
        <w:jc w:val="both"/>
        <w:rPr>
          <w:rFonts w:ascii="Verdana" w:hAnsi="Verdana"/>
          <w:sz w:val="20"/>
          <w:szCs w:val="20"/>
          <w:lang w:val="es-ES_tradnl"/>
        </w:rPr>
      </w:pPr>
      <w:r w:rsidRPr="000A09EB">
        <w:rPr>
          <w:rFonts w:ascii="Verdana" w:hAnsi="Verdana"/>
          <w:sz w:val="20"/>
          <w:szCs w:val="20"/>
          <w:lang w:val="es-ES_tradnl"/>
        </w:rPr>
        <w:t>En todo caso, las pérdidas por deterioro del crédito mercantil no se podrán revertir, así como tampoco se podrá incrementar el saldo del crédito mercantil adquirido.</w:t>
      </w:r>
    </w:p>
    <w:p w14:paraId="1B864E38" w14:textId="77777777" w:rsidR="000A09EB" w:rsidRPr="000A09EB" w:rsidRDefault="000A09EB" w:rsidP="000A09EB">
      <w:pPr>
        <w:spacing w:after="0"/>
        <w:jc w:val="both"/>
        <w:rPr>
          <w:rFonts w:ascii="Verdana" w:hAnsi="Verdana"/>
          <w:sz w:val="20"/>
          <w:szCs w:val="20"/>
          <w:lang w:val="es-ES_tradnl"/>
        </w:rPr>
      </w:pPr>
    </w:p>
    <w:p w14:paraId="2424EC04" w14:textId="2351F86C"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3.10.8.</w:t>
      </w:r>
    </w:p>
    <w:p w14:paraId="0A737A09" w14:textId="77777777" w:rsidR="000A09EB" w:rsidRDefault="000A09EB" w:rsidP="000A09EB">
      <w:pPr>
        <w:spacing w:after="0"/>
        <w:jc w:val="both"/>
        <w:rPr>
          <w:rFonts w:ascii="Verdana" w:hAnsi="Verdana"/>
          <w:sz w:val="20"/>
          <w:szCs w:val="20"/>
          <w:lang w:val="es-ES_tradnl"/>
        </w:rPr>
      </w:pPr>
      <w:r w:rsidRPr="000A09EB">
        <w:rPr>
          <w:rFonts w:ascii="Verdana" w:hAnsi="Verdana"/>
          <w:sz w:val="20"/>
          <w:szCs w:val="20"/>
          <w:lang w:val="es-ES_tradnl"/>
        </w:rPr>
        <w:t xml:space="preserve">Cuando la entidad enajene cualquier unidad generadora de efectivo o línea de negocio que tenga crédito mercantil adquirido asignado, se debe dar de baja el activo por crédito mercantil junto con el importe de la unidad generadora de efectivo o línea de negocio correspondiente. </w:t>
      </w:r>
    </w:p>
    <w:p w14:paraId="4D1A7760" w14:textId="77777777" w:rsidR="00F0000F" w:rsidRPr="000A09EB" w:rsidRDefault="00F0000F" w:rsidP="000A09EB">
      <w:pPr>
        <w:spacing w:after="0"/>
        <w:jc w:val="both"/>
        <w:rPr>
          <w:rFonts w:ascii="Verdana" w:hAnsi="Verdana"/>
          <w:sz w:val="20"/>
          <w:szCs w:val="20"/>
          <w:lang w:val="es-ES_tradnl"/>
        </w:rPr>
      </w:pPr>
    </w:p>
    <w:p w14:paraId="0B1D6DE2" w14:textId="77777777" w:rsidR="000A09EB" w:rsidRPr="000A09EB" w:rsidRDefault="000A09EB" w:rsidP="000A09EB">
      <w:pPr>
        <w:spacing w:after="0"/>
        <w:jc w:val="both"/>
        <w:rPr>
          <w:rFonts w:ascii="Verdana" w:hAnsi="Verdana"/>
          <w:b/>
          <w:sz w:val="20"/>
          <w:szCs w:val="20"/>
          <w:lang w:val="es-ES_tradnl"/>
        </w:rPr>
      </w:pPr>
    </w:p>
    <w:p w14:paraId="030D3CF0" w14:textId="54D92876" w:rsidR="000A09EB" w:rsidRPr="000A09EB" w:rsidRDefault="000A09EB" w:rsidP="00746AC4">
      <w:pPr>
        <w:spacing w:after="0"/>
        <w:jc w:val="both"/>
        <w:rPr>
          <w:rFonts w:ascii="Verdana" w:hAnsi="Verdana"/>
          <w:b/>
          <w:sz w:val="20"/>
          <w:szCs w:val="20"/>
          <w:lang w:val="es-ES_tradnl"/>
        </w:rPr>
      </w:pPr>
      <w:r w:rsidRPr="000A09EB">
        <w:rPr>
          <w:rFonts w:ascii="Verdana" w:hAnsi="Verdana"/>
          <w:b/>
          <w:sz w:val="20"/>
          <w:szCs w:val="20"/>
          <w:lang w:val="es-ES_tradnl"/>
        </w:rPr>
        <w:lastRenderedPageBreak/>
        <w:t>Informe u opinión de experto independiente</w:t>
      </w:r>
    </w:p>
    <w:p w14:paraId="2DE781C1" w14:textId="77777777" w:rsidR="000A09EB" w:rsidRPr="000A09EB" w:rsidRDefault="000A09EB" w:rsidP="000A09EB">
      <w:pPr>
        <w:spacing w:after="0"/>
        <w:jc w:val="both"/>
        <w:rPr>
          <w:rFonts w:ascii="Verdana" w:hAnsi="Verdana"/>
          <w:b/>
          <w:sz w:val="20"/>
          <w:szCs w:val="20"/>
          <w:lang w:val="es-ES_tradnl"/>
        </w:rPr>
      </w:pPr>
    </w:p>
    <w:p w14:paraId="1AB414CA" w14:textId="30BEB5B9"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3.10.9.</w:t>
      </w:r>
    </w:p>
    <w:p w14:paraId="2569964B" w14:textId="267F7BB4" w:rsidR="000A09EB" w:rsidRPr="000A09EB" w:rsidRDefault="000A09EB" w:rsidP="000A09EB">
      <w:pPr>
        <w:spacing w:after="0"/>
        <w:jc w:val="both"/>
        <w:rPr>
          <w:rFonts w:ascii="Verdana" w:hAnsi="Verdana"/>
          <w:b/>
          <w:sz w:val="20"/>
          <w:szCs w:val="20"/>
          <w:lang w:val="es-ES_tradnl"/>
        </w:rPr>
      </w:pPr>
      <w:r w:rsidRPr="000A09EB">
        <w:rPr>
          <w:rFonts w:ascii="Verdana" w:hAnsi="Verdana"/>
          <w:bCs/>
          <w:sz w:val="20"/>
          <w:szCs w:val="20"/>
          <w:lang w:val="es-ES_tradnl"/>
        </w:rPr>
        <w:t xml:space="preserve">Para efectos de la valoración inicial y en las pruebas de deterioro del crédito mercantil adquirido, la entidad </w:t>
      </w:r>
      <w:r w:rsidR="00F41330">
        <w:rPr>
          <w:rFonts w:ascii="Verdana" w:hAnsi="Verdana"/>
          <w:bCs/>
          <w:sz w:val="20"/>
          <w:szCs w:val="20"/>
          <w:lang w:val="es-ES_tradnl"/>
        </w:rPr>
        <w:t>podrá</w:t>
      </w:r>
      <w:r w:rsidR="00971CB1">
        <w:rPr>
          <w:rFonts w:ascii="Verdana" w:hAnsi="Verdana"/>
          <w:bCs/>
          <w:sz w:val="20"/>
          <w:szCs w:val="20"/>
          <w:lang w:val="es-ES_tradnl"/>
        </w:rPr>
        <w:t xml:space="preserve"> </w:t>
      </w:r>
      <w:r w:rsidRPr="000A09EB">
        <w:rPr>
          <w:rFonts w:ascii="Verdana" w:hAnsi="Verdana"/>
          <w:bCs/>
          <w:sz w:val="20"/>
          <w:szCs w:val="20"/>
          <w:lang w:val="es-ES_tradnl"/>
        </w:rPr>
        <w:t>c</w:t>
      </w:r>
      <w:r w:rsidR="009B1A42">
        <w:rPr>
          <w:rFonts w:ascii="Verdana" w:hAnsi="Verdana"/>
          <w:bCs/>
          <w:sz w:val="20"/>
          <w:szCs w:val="20"/>
          <w:lang w:val="es-ES_tradnl"/>
        </w:rPr>
        <w:t xml:space="preserve">ontar </w:t>
      </w:r>
      <w:r w:rsidRPr="000A09EB">
        <w:rPr>
          <w:rFonts w:ascii="Verdana" w:hAnsi="Verdana"/>
          <w:bCs/>
          <w:sz w:val="20"/>
          <w:szCs w:val="20"/>
          <w:lang w:val="es-ES_tradnl"/>
        </w:rPr>
        <w:t xml:space="preserve">con la opinión de un tercero independiente con experiencia acreditada, que no tenga ningún conflicto de interés con la entidad que contrate sus servicios. Esta opinión externa, así como todos los documentos anexos y asociados, deben mantenerse a disposición de la SFC. </w:t>
      </w:r>
    </w:p>
    <w:p w14:paraId="5EB7892C" w14:textId="77777777" w:rsidR="000A09EB" w:rsidRPr="000A09EB" w:rsidRDefault="000A09EB" w:rsidP="000A09EB">
      <w:pPr>
        <w:spacing w:after="0"/>
        <w:jc w:val="both"/>
        <w:rPr>
          <w:rFonts w:ascii="Verdana" w:hAnsi="Verdana"/>
          <w:bCs/>
          <w:sz w:val="20"/>
          <w:szCs w:val="20"/>
          <w:lang w:val="es-ES_tradnl"/>
        </w:rPr>
      </w:pPr>
    </w:p>
    <w:p w14:paraId="1F4E57B8" w14:textId="1B87FBB2" w:rsidR="00165181" w:rsidRDefault="00165181" w:rsidP="00165181">
      <w:pPr>
        <w:spacing w:after="0"/>
        <w:jc w:val="both"/>
        <w:rPr>
          <w:rFonts w:ascii="Verdana" w:hAnsi="Verdana"/>
          <w:bCs/>
          <w:sz w:val="20"/>
          <w:szCs w:val="20"/>
          <w:lang w:val="es-ES_tradnl"/>
        </w:rPr>
      </w:pPr>
      <w:r>
        <w:rPr>
          <w:rFonts w:ascii="Verdana" w:hAnsi="Verdana"/>
          <w:bCs/>
          <w:sz w:val="20"/>
          <w:szCs w:val="20"/>
          <w:lang w:val="es-ES_tradnl"/>
        </w:rPr>
        <w:t>3.10.10.</w:t>
      </w:r>
    </w:p>
    <w:p w14:paraId="4216333A" w14:textId="77777777" w:rsidR="000A09EB" w:rsidRPr="000A09EB" w:rsidRDefault="000A09EB" w:rsidP="000A09EB">
      <w:pPr>
        <w:spacing w:after="0"/>
        <w:jc w:val="both"/>
        <w:rPr>
          <w:rFonts w:ascii="Verdana" w:hAnsi="Verdana"/>
          <w:bCs/>
          <w:sz w:val="20"/>
          <w:szCs w:val="20"/>
          <w:lang w:val="es-ES_tradnl"/>
        </w:rPr>
      </w:pPr>
      <w:r w:rsidRPr="000A09EB">
        <w:rPr>
          <w:rFonts w:ascii="Verdana" w:hAnsi="Verdana"/>
          <w:bCs/>
          <w:sz w:val="20"/>
          <w:szCs w:val="20"/>
          <w:lang w:val="es-ES_tradnl"/>
        </w:rPr>
        <w:t>La opinión del tercero independiente debe observar los siguientes principios:</w:t>
      </w:r>
    </w:p>
    <w:p w14:paraId="68B81488" w14:textId="77777777" w:rsidR="000A09EB" w:rsidRPr="000A09EB" w:rsidRDefault="000A09EB" w:rsidP="000A09EB">
      <w:pPr>
        <w:spacing w:after="0"/>
        <w:jc w:val="both"/>
        <w:rPr>
          <w:rFonts w:ascii="Verdana" w:hAnsi="Verdana"/>
          <w:bCs/>
          <w:sz w:val="20"/>
          <w:szCs w:val="20"/>
          <w:lang w:val="es-ES_tradnl"/>
        </w:rPr>
      </w:pPr>
    </w:p>
    <w:p w14:paraId="78F884C9" w14:textId="0ADB5383" w:rsidR="000A09EB" w:rsidRPr="000A09EB" w:rsidRDefault="000A09EB" w:rsidP="00165181">
      <w:pPr>
        <w:numPr>
          <w:ilvl w:val="0"/>
          <w:numId w:val="28"/>
        </w:numPr>
        <w:spacing w:after="0"/>
        <w:ind w:left="567" w:hanging="567"/>
        <w:jc w:val="both"/>
        <w:rPr>
          <w:rFonts w:ascii="Verdana" w:hAnsi="Verdana"/>
          <w:bCs/>
          <w:sz w:val="20"/>
          <w:szCs w:val="20"/>
          <w:lang w:val="es-ES_tradnl"/>
        </w:rPr>
      </w:pPr>
      <w:r w:rsidRPr="00E0224C">
        <w:rPr>
          <w:rFonts w:ascii="Verdana" w:hAnsi="Verdana"/>
          <w:bCs/>
          <w:sz w:val="20"/>
          <w:szCs w:val="20"/>
          <w:lang w:val="es-ES_tradnl"/>
        </w:rPr>
        <w:t>Objetividad:</w:t>
      </w:r>
      <w:r w:rsidRPr="000A09EB">
        <w:rPr>
          <w:rFonts w:ascii="Verdana" w:hAnsi="Verdana"/>
          <w:bCs/>
          <w:sz w:val="20"/>
          <w:szCs w:val="20"/>
          <w:lang w:val="es-ES_tradnl"/>
        </w:rPr>
        <w:t xml:space="preserve"> la opinión debe fundamentarse en criterios objetivos y datos comprobables. </w:t>
      </w:r>
    </w:p>
    <w:p w14:paraId="710B1BFC" w14:textId="77777777" w:rsidR="000A09EB" w:rsidRPr="000A09EB" w:rsidRDefault="000A09EB" w:rsidP="000A09EB">
      <w:pPr>
        <w:spacing w:after="0"/>
        <w:jc w:val="both"/>
        <w:rPr>
          <w:rFonts w:ascii="Verdana" w:hAnsi="Verdana"/>
          <w:bCs/>
          <w:sz w:val="20"/>
          <w:szCs w:val="20"/>
          <w:lang w:val="es-ES_tradnl"/>
        </w:rPr>
      </w:pPr>
    </w:p>
    <w:p w14:paraId="523D943F" w14:textId="63432157" w:rsidR="000A09EB" w:rsidRPr="000A09EB" w:rsidRDefault="000A09EB" w:rsidP="00165181">
      <w:pPr>
        <w:numPr>
          <w:ilvl w:val="0"/>
          <w:numId w:val="28"/>
        </w:numPr>
        <w:spacing w:after="0"/>
        <w:ind w:left="567" w:hanging="567"/>
        <w:jc w:val="both"/>
        <w:rPr>
          <w:rFonts w:ascii="Verdana" w:hAnsi="Verdana"/>
          <w:bCs/>
          <w:sz w:val="20"/>
          <w:szCs w:val="20"/>
          <w:lang w:val="es-ES_tradnl"/>
        </w:rPr>
      </w:pPr>
      <w:r w:rsidRPr="00E0224C">
        <w:rPr>
          <w:rFonts w:ascii="Verdana" w:hAnsi="Verdana"/>
          <w:bCs/>
          <w:sz w:val="20"/>
          <w:szCs w:val="20"/>
          <w:lang w:val="es-ES_tradnl"/>
        </w:rPr>
        <w:t xml:space="preserve"> Veracidad de las fuentes:</w:t>
      </w:r>
      <w:r w:rsidRPr="000A09EB">
        <w:rPr>
          <w:rFonts w:ascii="Verdana" w:hAnsi="Verdana"/>
          <w:bCs/>
          <w:sz w:val="20"/>
          <w:szCs w:val="20"/>
          <w:lang w:val="es-ES_tradnl"/>
        </w:rPr>
        <w:t xml:space="preserve"> la información, índices, precios unitarios, curvas de descuento para las proyecciones y demás datos que se utilicen en la valoración deben provenir de fuentes verificables de reconocida profesionalidad. </w:t>
      </w:r>
    </w:p>
    <w:p w14:paraId="1F6D1EEA" w14:textId="77777777" w:rsidR="000A09EB" w:rsidRPr="000A09EB" w:rsidRDefault="000A09EB" w:rsidP="000A09EB">
      <w:pPr>
        <w:spacing w:after="0"/>
        <w:jc w:val="both"/>
        <w:rPr>
          <w:rFonts w:ascii="Verdana" w:hAnsi="Verdana"/>
          <w:bCs/>
          <w:sz w:val="20"/>
          <w:szCs w:val="20"/>
          <w:lang w:val="es-ES_tradnl"/>
        </w:rPr>
      </w:pPr>
    </w:p>
    <w:p w14:paraId="3847AB4F" w14:textId="14C1F29A" w:rsidR="000A09EB" w:rsidRPr="000A09EB" w:rsidRDefault="000A09EB" w:rsidP="16C0BCDC">
      <w:pPr>
        <w:numPr>
          <w:ilvl w:val="0"/>
          <w:numId w:val="28"/>
        </w:numPr>
        <w:spacing w:after="0"/>
        <w:ind w:left="567" w:hanging="567"/>
        <w:jc w:val="both"/>
        <w:rPr>
          <w:rFonts w:ascii="Verdana" w:hAnsi="Verdana"/>
          <w:sz w:val="20"/>
          <w:szCs w:val="20"/>
          <w:lang w:val="es-ES"/>
        </w:rPr>
      </w:pPr>
      <w:r w:rsidRPr="00E0224C">
        <w:rPr>
          <w:rFonts w:ascii="Verdana" w:hAnsi="Verdana"/>
          <w:sz w:val="20"/>
          <w:szCs w:val="20"/>
          <w:lang w:val="es-ES"/>
        </w:rPr>
        <w:t>Transparencia:</w:t>
      </w:r>
      <w:r w:rsidRPr="16C0BCDC">
        <w:rPr>
          <w:rFonts w:ascii="Verdana" w:hAnsi="Verdana"/>
          <w:sz w:val="20"/>
          <w:szCs w:val="20"/>
          <w:lang w:val="es-ES"/>
        </w:rPr>
        <w:t xml:space="preserve"> en la opinión deben revelarse todas las limitaciones y posibles fuentes de error en la metodología, en la información utilizada o en cualquier otro aspecto del trabajo realizado, así como revelarse todos los supuestos que se hayan tenido en cuenta.</w:t>
      </w:r>
    </w:p>
    <w:p w14:paraId="3083C74C" w14:textId="77777777" w:rsidR="000A09EB" w:rsidRPr="000A09EB" w:rsidRDefault="000A09EB" w:rsidP="000A09EB">
      <w:pPr>
        <w:spacing w:after="0"/>
        <w:jc w:val="both"/>
        <w:rPr>
          <w:rFonts w:ascii="Verdana" w:hAnsi="Verdana"/>
          <w:bCs/>
          <w:sz w:val="20"/>
          <w:szCs w:val="20"/>
          <w:lang w:val="es-ES_tradnl"/>
        </w:rPr>
      </w:pPr>
    </w:p>
    <w:p w14:paraId="4A818108" w14:textId="6F388EE8" w:rsidR="000A09EB" w:rsidRPr="000A09EB" w:rsidRDefault="000A09EB" w:rsidP="00165181">
      <w:pPr>
        <w:numPr>
          <w:ilvl w:val="0"/>
          <w:numId w:val="28"/>
        </w:numPr>
        <w:spacing w:after="0"/>
        <w:ind w:left="567" w:hanging="567"/>
        <w:jc w:val="both"/>
        <w:rPr>
          <w:rFonts w:ascii="Verdana" w:hAnsi="Verdana"/>
          <w:bCs/>
          <w:sz w:val="20"/>
          <w:szCs w:val="20"/>
          <w:lang w:val="es-ES_tradnl"/>
        </w:rPr>
      </w:pPr>
      <w:r w:rsidRPr="00E0224C">
        <w:rPr>
          <w:rFonts w:ascii="Verdana" w:hAnsi="Verdana"/>
          <w:bCs/>
          <w:sz w:val="20"/>
          <w:szCs w:val="20"/>
          <w:lang w:val="es-ES_tradnl"/>
        </w:rPr>
        <w:t>Integridad y suficiencia:</w:t>
      </w:r>
      <w:r w:rsidRPr="000A09EB">
        <w:rPr>
          <w:rFonts w:ascii="Verdana" w:hAnsi="Verdana"/>
          <w:bCs/>
          <w:sz w:val="20"/>
          <w:szCs w:val="20"/>
          <w:lang w:val="es-ES_tradnl"/>
        </w:rPr>
        <w:t xml:space="preserve"> los documentos que se produzcan como resultado de la valuación realizada deberán contener toda la información que permita a un tercero interesado conocer el valor actualizado del crédito mercantil adquirido y el alcance del concepto emitido, sin necesidad de recurrir a fuentes externas al texto. </w:t>
      </w:r>
    </w:p>
    <w:p w14:paraId="653FE240" w14:textId="77777777" w:rsidR="000A09EB" w:rsidRPr="000A09EB" w:rsidRDefault="000A09EB" w:rsidP="000A09EB">
      <w:pPr>
        <w:spacing w:after="0"/>
        <w:jc w:val="both"/>
        <w:rPr>
          <w:rFonts w:ascii="Verdana" w:hAnsi="Verdana"/>
          <w:bCs/>
          <w:sz w:val="20"/>
          <w:szCs w:val="20"/>
          <w:lang w:val="es-ES_tradnl"/>
        </w:rPr>
      </w:pPr>
    </w:p>
    <w:p w14:paraId="51FFFDFB" w14:textId="7E461363" w:rsidR="00CD0A6D" w:rsidRDefault="00CD0A6D" w:rsidP="000A09EB">
      <w:pPr>
        <w:spacing w:after="0"/>
        <w:jc w:val="both"/>
        <w:rPr>
          <w:rFonts w:ascii="Verdana" w:hAnsi="Verdana"/>
          <w:bCs/>
          <w:sz w:val="20"/>
          <w:szCs w:val="20"/>
          <w:lang w:val="es-ES_tradnl"/>
        </w:rPr>
      </w:pPr>
      <w:r>
        <w:rPr>
          <w:rFonts w:ascii="Verdana" w:hAnsi="Verdana"/>
          <w:bCs/>
          <w:sz w:val="20"/>
          <w:szCs w:val="20"/>
          <w:lang w:val="es-ES_tradnl"/>
        </w:rPr>
        <w:t>3.10.11.</w:t>
      </w:r>
    </w:p>
    <w:p w14:paraId="5ED7A2FD" w14:textId="5A002107" w:rsidR="000A09EB" w:rsidRPr="000A09EB" w:rsidRDefault="000A09EB" w:rsidP="000A09EB">
      <w:pPr>
        <w:spacing w:after="0"/>
        <w:jc w:val="both"/>
        <w:rPr>
          <w:rFonts w:ascii="Verdana" w:hAnsi="Verdana"/>
          <w:bCs/>
          <w:sz w:val="20"/>
          <w:szCs w:val="20"/>
          <w:lang w:val="es-ES_tradnl"/>
        </w:rPr>
      </w:pPr>
      <w:r w:rsidRPr="000A09EB">
        <w:rPr>
          <w:rFonts w:ascii="Verdana" w:hAnsi="Verdana"/>
          <w:bCs/>
          <w:sz w:val="20"/>
          <w:szCs w:val="20"/>
          <w:lang w:val="es-ES_tradnl"/>
        </w:rPr>
        <w:t>Adicionalmente, la opinión del tercero debe incluir al menos los siguientes elementos:</w:t>
      </w:r>
    </w:p>
    <w:p w14:paraId="1194B9C7" w14:textId="77777777" w:rsidR="000A09EB" w:rsidRPr="000A09EB" w:rsidRDefault="000A09EB" w:rsidP="000A09EB">
      <w:pPr>
        <w:spacing w:after="0"/>
        <w:jc w:val="both"/>
        <w:rPr>
          <w:rFonts w:ascii="Verdana" w:hAnsi="Verdana"/>
          <w:bCs/>
          <w:sz w:val="20"/>
          <w:szCs w:val="20"/>
          <w:lang w:val="es-ES_tradnl"/>
        </w:rPr>
      </w:pPr>
    </w:p>
    <w:p w14:paraId="11A7B00F" w14:textId="2240BEDB" w:rsidR="000A09EB" w:rsidRPr="00CB7AAB" w:rsidRDefault="000A09EB" w:rsidP="00CD0A6D">
      <w:pPr>
        <w:pStyle w:val="Prrafodelista"/>
        <w:numPr>
          <w:ilvl w:val="1"/>
          <w:numId w:val="28"/>
        </w:numPr>
        <w:spacing w:after="0"/>
        <w:ind w:left="567" w:hanging="567"/>
        <w:jc w:val="both"/>
        <w:rPr>
          <w:rFonts w:ascii="Verdana" w:hAnsi="Verdana"/>
          <w:bCs/>
          <w:sz w:val="20"/>
          <w:szCs w:val="20"/>
          <w:lang w:val="es-ES_tradnl"/>
        </w:rPr>
      </w:pPr>
      <w:r w:rsidRPr="00CB7AAB">
        <w:rPr>
          <w:rFonts w:ascii="Verdana" w:hAnsi="Verdana"/>
          <w:bCs/>
          <w:sz w:val="20"/>
          <w:szCs w:val="20"/>
          <w:lang w:val="es-ES_tradnl"/>
        </w:rPr>
        <w:t xml:space="preserve">Identificación plena de las unidades generadoras de efectivo o líneas de negocio involucradas en la combinación de negocio, así como los criterios utilizados para su definición y separación de forma consistente con la información financiera utilizada por la alta gerencia para la gestión del negocio. </w:t>
      </w:r>
    </w:p>
    <w:p w14:paraId="6919DBBB" w14:textId="77777777" w:rsidR="000A09EB" w:rsidRPr="000A09EB" w:rsidRDefault="000A09EB" w:rsidP="000A09EB">
      <w:pPr>
        <w:spacing w:after="0"/>
        <w:jc w:val="both"/>
        <w:rPr>
          <w:rFonts w:ascii="Verdana" w:hAnsi="Verdana"/>
          <w:bCs/>
          <w:sz w:val="20"/>
          <w:szCs w:val="20"/>
          <w:lang w:val="es-ES_tradnl"/>
        </w:rPr>
      </w:pPr>
    </w:p>
    <w:p w14:paraId="200F7C30" w14:textId="098AA03B" w:rsidR="000A09EB" w:rsidRPr="00CD0A6D" w:rsidRDefault="000A09EB" w:rsidP="00CD0A6D">
      <w:pPr>
        <w:pStyle w:val="Prrafodelista"/>
        <w:numPr>
          <w:ilvl w:val="1"/>
          <w:numId w:val="28"/>
        </w:numPr>
        <w:spacing w:after="0"/>
        <w:ind w:left="567" w:hanging="567"/>
        <w:jc w:val="both"/>
        <w:rPr>
          <w:rFonts w:ascii="Verdana" w:hAnsi="Verdana"/>
          <w:bCs/>
          <w:sz w:val="20"/>
          <w:szCs w:val="20"/>
          <w:lang w:val="es-ES_tradnl"/>
        </w:rPr>
      </w:pPr>
      <w:r w:rsidRPr="00CD0A6D">
        <w:rPr>
          <w:rFonts w:ascii="Verdana" w:hAnsi="Verdana"/>
          <w:bCs/>
          <w:sz w:val="20"/>
          <w:szCs w:val="20"/>
          <w:lang w:val="es-ES_tradnl"/>
        </w:rPr>
        <w:t xml:space="preserve">Asignación del crédito mercantil adquirido a cada una de las unidades generadoras de efectivo o líneas de negocio involucradas en la combinación de negocio.  </w:t>
      </w:r>
    </w:p>
    <w:p w14:paraId="0D1BFC75" w14:textId="77777777" w:rsidR="000A09EB" w:rsidRPr="000A09EB" w:rsidRDefault="000A09EB" w:rsidP="000A09EB">
      <w:pPr>
        <w:spacing w:after="0"/>
        <w:jc w:val="both"/>
        <w:rPr>
          <w:rFonts w:ascii="Verdana" w:hAnsi="Verdana"/>
          <w:bCs/>
          <w:sz w:val="20"/>
          <w:szCs w:val="20"/>
          <w:lang w:val="es-ES_tradnl"/>
        </w:rPr>
      </w:pPr>
    </w:p>
    <w:p w14:paraId="05B0BEC4" w14:textId="0BB05773" w:rsidR="000A09EB" w:rsidRPr="00CD0A6D" w:rsidRDefault="000A09EB" w:rsidP="00CD0A6D">
      <w:pPr>
        <w:pStyle w:val="Prrafodelista"/>
        <w:numPr>
          <w:ilvl w:val="1"/>
          <w:numId w:val="28"/>
        </w:numPr>
        <w:spacing w:after="0"/>
        <w:ind w:left="567" w:hanging="567"/>
        <w:jc w:val="both"/>
        <w:rPr>
          <w:rFonts w:ascii="Verdana" w:hAnsi="Verdana"/>
          <w:bCs/>
          <w:sz w:val="20"/>
          <w:szCs w:val="20"/>
          <w:lang w:val="es-ES_tradnl"/>
        </w:rPr>
      </w:pPr>
      <w:r w:rsidRPr="00CD0A6D">
        <w:rPr>
          <w:rFonts w:ascii="Verdana" w:hAnsi="Verdana"/>
          <w:bCs/>
          <w:sz w:val="20"/>
          <w:szCs w:val="20"/>
          <w:lang w:val="es-ES_tradnl"/>
        </w:rPr>
        <w:t xml:space="preserve">Saldo del crédito mercantil adquirido asignado a cada unidad generadora de efectivo o línea de negocio, incluyendo la relación entre el precio de mercado y el precio de adquisición, tanto en el reconocimiento inicial como en las pruebas de deterioro posteriores. </w:t>
      </w:r>
    </w:p>
    <w:p w14:paraId="103108CC" w14:textId="77777777" w:rsidR="00746AC4" w:rsidRPr="00CB7AAB" w:rsidRDefault="00746AC4" w:rsidP="00746AC4">
      <w:pPr>
        <w:spacing w:after="0"/>
        <w:jc w:val="both"/>
        <w:rPr>
          <w:rFonts w:ascii="Verdana" w:hAnsi="Verdana"/>
          <w:b/>
          <w:sz w:val="20"/>
          <w:szCs w:val="20"/>
          <w:lang w:val="es-ES_tradnl"/>
        </w:rPr>
      </w:pPr>
    </w:p>
    <w:p w14:paraId="70B5FF65" w14:textId="76E75B20" w:rsidR="000A09EB" w:rsidRPr="000A09EB" w:rsidRDefault="00E0224C" w:rsidP="00746AC4">
      <w:pPr>
        <w:spacing w:after="0"/>
        <w:jc w:val="both"/>
        <w:rPr>
          <w:rFonts w:ascii="Verdana" w:hAnsi="Verdana"/>
          <w:b/>
          <w:sz w:val="20"/>
          <w:szCs w:val="20"/>
          <w:lang w:val="es-ES_tradnl"/>
        </w:rPr>
      </w:pPr>
      <w:r w:rsidRPr="000A09EB">
        <w:rPr>
          <w:rFonts w:ascii="Verdana" w:hAnsi="Verdana"/>
          <w:b/>
          <w:sz w:val="20"/>
          <w:szCs w:val="20"/>
          <w:lang w:val="es-ES_tradnl"/>
        </w:rPr>
        <w:t>REVELACIÓN DE INFORMACIÓN FINANCIERA</w:t>
      </w:r>
    </w:p>
    <w:p w14:paraId="1113B291" w14:textId="77777777" w:rsidR="000A09EB" w:rsidRPr="000A09EB" w:rsidRDefault="000A09EB" w:rsidP="000A09EB">
      <w:pPr>
        <w:spacing w:after="0"/>
        <w:jc w:val="both"/>
        <w:rPr>
          <w:rFonts w:ascii="Verdana" w:hAnsi="Verdana"/>
          <w:b/>
          <w:sz w:val="20"/>
          <w:szCs w:val="20"/>
          <w:lang w:val="es-ES_tradnl"/>
        </w:rPr>
      </w:pPr>
    </w:p>
    <w:p w14:paraId="23EE8243" w14:textId="4C931BA8" w:rsidR="00932C6D" w:rsidRDefault="00932C6D" w:rsidP="00932C6D">
      <w:pPr>
        <w:spacing w:after="0"/>
        <w:jc w:val="both"/>
        <w:rPr>
          <w:rFonts w:ascii="Verdana" w:hAnsi="Verdana"/>
          <w:bCs/>
          <w:sz w:val="20"/>
          <w:szCs w:val="20"/>
          <w:lang w:val="es-ES_tradnl"/>
        </w:rPr>
      </w:pPr>
      <w:r>
        <w:rPr>
          <w:rFonts w:ascii="Verdana" w:hAnsi="Verdana"/>
          <w:bCs/>
          <w:sz w:val="20"/>
          <w:szCs w:val="20"/>
          <w:lang w:val="es-ES_tradnl"/>
        </w:rPr>
        <w:t>3.10.1</w:t>
      </w:r>
      <w:r w:rsidR="00CD0A6D">
        <w:rPr>
          <w:rFonts w:ascii="Verdana" w:hAnsi="Verdana"/>
          <w:bCs/>
          <w:sz w:val="20"/>
          <w:szCs w:val="20"/>
          <w:lang w:val="es-ES_tradnl"/>
        </w:rPr>
        <w:t>2</w:t>
      </w:r>
      <w:r>
        <w:rPr>
          <w:rFonts w:ascii="Verdana" w:hAnsi="Verdana"/>
          <w:bCs/>
          <w:sz w:val="20"/>
          <w:szCs w:val="20"/>
          <w:lang w:val="es-ES_tradnl"/>
        </w:rPr>
        <w:t>.</w:t>
      </w:r>
    </w:p>
    <w:p w14:paraId="3BB6154E" w14:textId="77777777" w:rsidR="000A09EB" w:rsidRPr="000A09EB" w:rsidRDefault="000A09EB" w:rsidP="000A09EB">
      <w:pPr>
        <w:spacing w:after="0"/>
        <w:jc w:val="both"/>
        <w:rPr>
          <w:rFonts w:ascii="Verdana" w:hAnsi="Verdana"/>
          <w:bCs/>
          <w:sz w:val="20"/>
          <w:szCs w:val="20"/>
          <w:lang w:val="es-ES_tradnl"/>
        </w:rPr>
      </w:pPr>
      <w:r w:rsidRPr="000A09EB">
        <w:rPr>
          <w:rFonts w:ascii="Verdana" w:hAnsi="Verdana"/>
          <w:bCs/>
          <w:sz w:val="20"/>
          <w:szCs w:val="20"/>
          <w:lang w:val="es-ES_tradnl"/>
        </w:rPr>
        <w:t>Además de los requerimientos de revelación previstos en los marcos técnicos normativos de información financiera y de aseguramiento, como parte de las notas de los estados financieros las entidades vigiladas deben revelar como mínimo la siguiente información sobre el crédito mercantil adquirido:</w:t>
      </w:r>
    </w:p>
    <w:p w14:paraId="535C26C1" w14:textId="77777777" w:rsidR="000A09EB" w:rsidRPr="000A09EB" w:rsidRDefault="000A09EB" w:rsidP="000A09EB">
      <w:pPr>
        <w:spacing w:after="0"/>
        <w:jc w:val="both"/>
        <w:rPr>
          <w:rFonts w:ascii="Verdana" w:hAnsi="Verdana"/>
          <w:bCs/>
          <w:sz w:val="20"/>
          <w:szCs w:val="20"/>
          <w:lang w:val="es-ES_tradnl"/>
        </w:rPr>
      </w:pPr>
    </w:p>
    <w:p w14:paraId="114796A7" w14:textId="77777777" w:rsidR="000A09EB" w:rsidRPr="000A09EB" w:rsidRDefault="000A09EB" w:rsidP="00932C6D">
      <w:pPr>
        <w:numPr>
          <w:ilvl w:val="0"/>
          <w:numId w:val="30"/>
        </w:numPr>
        <w:tabs>
          <w:tab w:val="clear" w:pos="724"/>
          <w:tab w:val="num" w:pos="8789"/>
        </w:tabs>
        <w:spacing w:after="0"/>
        <w:ind w:left="567" w:hanging="629"/>
        <w:jc w:val="both"/>
        <w:rPr>
          <w:rFonts w:ascii="Verdana" w:hAnsi="Verdana"/>
          <w:bCs/>
          <w:sz w:val="20"/>
          <w:szCs w:val="20"/>
          <w:lang w:val="es-ES_tradnl"/>
        </w:rPr>
      </w:pPr>
      <w:r w:rsidRPr="000A09EB">
        <w:rPr>
          <w:rFonts w:ascii="Verdana" w:hAnsi="Verdana"/>
          <w:bCs/>
          <w:sz w:val="20"/>
          <w:szCs w:val="20"/>
          <w:lang w:val="es-ES_tradnl"/>
        </w:rPr>
        <w:t>Descripción de cada unidad generadora de efectivo o línea de negocio asociada al crédito mercantil adquirido en cualquier tipo de combinación de negocios.</w:t>
      </w:r>
    </w:p>
    <w:p w14:paraId="026B44A9" w14:textId="77777777" w:rsidR="000A09EB" w:rsidRPr="000A09EB" w:rsidRDefault="000A09EB" w:rsidP="000A09EB">
      <w:pPr>
        <w:spacing w:after="0"/>
        <w:jc w:val="both"/>
        <w:rPr>
          <w:rFonts w:ascii="Verdana" w:hAnsi="Verdana"/>
          <w:bCs/>
          <w:sz w:val="20"/>
          <w:szCs w:val="20"/>
          <w:lang w:val="es-ES_tradnl"/>
        </w:rPr>
      </w:pPr>
    </w:p>
    <w:p w14:paraId="6835BF84" w14:textId="77777777" w:rsidR="000A09EB" w:rsidRPr="000A09EB" w:rsidRDefault="000A09EB" w:rsidP="00932C6D">
      <w:pPr>
        <w:numPr>
          <w:ilvl w:val="0"/>
          <w:numId w:val="30"/>
        </w:numPr>
        <w:tabs>
          <w:tab w:val="clear" w:pos="724"/>
          <w:tab w:val="num" w:pos="2977"/>
          <w:tab w:val="num" w:pos="3969"/>
        </w:tabs>
        <w:spacing w:after="0"/>
        <w:ind w:left="567" w:hanging="567"/>
        <w:jc w:val="both"/>
        <w:rPr>
          <w:rFonts w:ascii="Verdana" w:hAnsi="Verdana"/>
          <w:bCs/>
          <w:sz w:val="20"/>
          <w:szCs w:val="20"/>
          <w:lang w:val="es-ES_tradnl"/>
        </w:rPr>
      </w:pPr>
      <w:r w:rsidRPr="000A09EB">
        <w:rPr>
          <w:rFonts w:ascii="Verdana" w:hAnsi="Verdana"/>
          <w:bCs/>
          <w:sz w:val="20"/>
          <w:szCs w:val="20"/>
          <w:lang w:val="es-ES_tradnl"/>
        </w:rPr>
        <w:t xml:space="preserve">Metodologías y estimaciones utilizadas para la valuación de las unidades generadoras de efectivo o líneas de negocio, y para estimar el valor del crédito mercantil adquirido, tanto en el reconocimiento inicial como en las pruebas de deterioro. </w:t>
      </w:r>
    </w:p>
    <w:p w14:paraId="710106AA" w14:textId="77777777" w:rsidR="000A09EB" w:rsidRPr="000A09EB" w:rsidRDefault="000A09EB" w:rsidP="000A09EB">
      <w:pPr>
        <w:spacing w:after="0"/>
        <w:jc w:val="both"/>
        <w:rPr>
          <w:rFonts w:ascii="Verdana" w:hAnsi="Verdana"/>
          <w:bCs/>
          <w:sz w:val="20"/>
          <w:szCs w:val="20"/>
          <w:lang w:val="es-ES_tradnl"/>
        </w:rPr>
      </w:pPr>
    </w:p>
    <w:p w14:paraId="4F69A530" w14:textId="77777777" w:rsidR="000A09EB" w:rsidRPr="000A09EB" w:rsidRDefault="000A09EB" w:rsidP="00932C6D">
      <w:pPr>
        <w:numPr>
          <w:ilvl w:val="0"/>
          <w:numId w:val="30"/>
        </w:numPr>
        <w:tabs>
          <w:tab w:val="clear" w:pos="724"/>
          <w:tab w:val="num" w:pos="4536"/>
        </w:tabs>
        <w:spacing w:after="0"/>
        <w:ind w:left="567" w:hanging="567"/>
        <w:jc w:val="both"/>
        <w:rPr>
          <w:rFonts w:ascii="Verdana" w:hAnsi="Verdana"/>
          <w:bCs/>
          <w:sz w:val="20"/>
          <w:szCs w:val="20"/>
          <w:lang w:val="es-ES_tradnl"/>
        </w:rPr>
      </w:pPr>
      <w:r w:rsidRPr="000A09EB">
        <w:rPr>
          <w:rFonts w:ascii="Verdana" w:hAnsi="Verdana"/>
          <w:bCs/>
          <w:sz w:val="20"/>
          <w:szCs w:val="20"/>
          <w:lang w:val="es-ES_tradnl"/>
        </w:rPr>
        <w:t>El importe de la pérdida por deterioro del valor reconocido por cada una de las unidades generadoras de efectivo o líneas de negocio.</w:t>
      </w:r>
    </w:p>
    <w:p w14:paraId="22F2FEFA" w14:textId="77777777" w:rsidR="000A09EB" w:rsidRPr="000A09EB" w:rsidRDefault="000A09EB" w:rsidP="000A09EB">
      <w:pPr>
        <w:spacing w:after="0"/>
        <w:jc w:val="both"/>
        <w:rPr>
          <w:rFonts w:ascii="Verdana" w:hAnsi="Verdana"/>
          <w:bCs/>
          <w:sz w:val="20"/>
          <w:szCs w:val="20"/>
          <w:lang w:val="es-ES_tradnl"/>
        </w:rPr>
      </w:pPr>
    </w:p>
    <w:p w14:paraId="5F2C7CCF" w14:textId="77777777" w:rsidR="000A09EB" w:rsidRPr="000A09EB" w:rsidRDefault="000A09EB" w:rsidP="00932C6D">
      <w:pPr>
        <w:numPr>
          <w:ilvl w:val="0"/>
          <w:numId w:val="30"/>
        </w:numPr>
        <w:tabs>
          <w:tab w:val="clear" w:pos="724"/>
          <w:tab w:val="num" w:pos="3119"/>
          <w:tab w:val="num" w:pos="4395"/>
        </w:tabs>
        <w:spacing w:after="0"/>
        <w:ind w:left="567" w:hanging="567"/>
        <w:jc w:val="both"/>
        <w:rPr>
          <w:rFonts w:ascii="Verdana" w:hAnsi="Verdana"/>
          <w:bCs/>
          <w:sz w:val="20"/>
          <w:szCs w:val="20"/>
          <w:lang w:val="es-ES_tradnl"/>
        </w:rPr>
      </w:pPr>
      <w:r w:rsidRPr="000A09EB">
        <w:rPr>
          <w:rFonts w:ascii="Verdana" w:hAnsi="Verdana"/>
          <w:bCs/>
          <w:sz w:val="20"/>
          <w:szCs w:val="20"/>
          <w:lang w:val="es-ES_tradnl"/>
        </w:rPr>
        <w:lastRenderedPageBreak/>
        <w:t>Los eventos y circunstancias que han originado el reconocimiento de las pérdidas por deterioro del crédito mercantil asignado a cada una de las unidades generadoras de efectivo o líneas de negocio.</w:t>
      </w:r>
    </w:p>
    <w:p w14:paraId="48BCEFAF" w14:textId="77777777" w:rsidR="000A09EB" w:rsidRPr="000A09EB" w:rsidRDefault="000A09EB" w:rsidP="000A09EB">
      <w:pPr>
        <w:spacing w:after="0"/>
        <w:jc w:val="both"/>
        <w:rPr>
          <w:rFonts w:ascii="Verdana" w:hAnsi="Verdana"/>
          <w:bCs/>
          <w:sz w:val="20"/>
          <w:szCs w:val="20"/>
          <w:lang w:val="es-ES_tradnl"/>
        </w:rPr>
      </w:pPr>
    </w:p>
    <w:p w14:paraId="1343E84A" w14:textId="33312CC2" w:rsidR="000A09EB" w:rsidRPr="000A09EB" w:rsidRDefault="000A09EB" w:rsidP="00932C6D">
      <w:pPr>
        <w:numPr>
          <w:ilvl w:val="0"/>
          <w:numId w:val="30"/>
        </w:numPr>
        <w:tabs>
          <w:tab w:val="clear" w:pos="724"/>
          <w:tab w:val="num" w:pos="5670"/>
          <w:tab w:val="num" w:pos="5954"/>
        </w:tabs>
        <w:spacing w:after="0"/>
        <w:ind w:left="567" w:hanging="567"/>
        <w:jc w:val="both"/>
        <w:rPr>
          <w:rFonts w:ascii="Verdana" w:hAnsi="Verdana"/>
          <w:bCs/>
          <w:sz w:val="20"/>
          <w:szCs w:val="20"/>
          <w:lang w:val="es-ES_tradnl"/>
        </w:rPr>
      </w:pPr>
      <w:r w:rsidRPr="000A09EB">
        <w:rPr>
          <w:rFonts w:ascii="Verdana" w:hAnsi="Verdana"/>
          <w:bCs/>
          <w:sz w:val="20"/>
          <w:szCs w:val="20"/>
          <w:lang w:val="es-ES_tradnl"/>
        </w:rPr>
        <w:t xml:space="preserve">Aspectos relevantes de la opinión del tercero independiente, en los términos del </w:t>
      </w:r>
      <w:r w:rsidR="00EE2DB0">
        <w:rPr>
          <w:rFonts w:ascii="Verdana" w:hAnsi="Verdana"/>
          <w:bCs/>
          <w:sz w:val="20"/>
          <w:szCs w:val="20"/>
          <w:lang w:val="es-ES_tradnl"/>
        </w:rPr>
        <w:t>señalados entre los párrafos 3.10.9 y 3.10.11.</w:t>
      </w:r>
      <w:r w:rsidRPr="000A09EB">
        <w:rPr>
          <w:rFonts w:ascii="Verdana" w:hAnsi="Verdana"/>
          <w:bCs/>
          <w:sz w:val="20"/>
          <w:szCs w:val="20"/>
          <w:lang w:val="es-ES_tradnl"/>
        </w:rPr>
        <w:t xml:space="preserve"> del presente </w:t>
      </w:r>
      <w:r w:rsidR="00E0224C">
        <w:rPr>
          <w:rFonts w:ascii="Verdana" w:hAnsi="Verdana"/>
          <w:bCs/>
          <w:sz w:val="20"/>
          <w:szCs w:val="20"/>
          <w:lang w:val="es-ES_tradnl"/>
        </w:rPr>
        <w:t>c</w:t>
      </w:r>
      <w:r w:rsidRPr="000A09EB">
        <w:rPr>
          <w:rFonts w:ascii="Verdana" w:hAnsi="Verdana"/>
          <w:bCs/>
          <w:sz w:val="20"/>
          <w:szCs w:val="20"/>
          <w:lang w:val="es-ES_tradnl"/>
        </w:rPr>
        <w:t>apítulo.</w:t>
      </w:r>
    </w:p>
    <w:p w14:paraId="2F331EF3" w14:textId="77777777" w:rsidR="000A09EB" w:rsidRPr="000A09EB" w:rsidRDefault="000A09EB" w:rsidP="000A09EB">
      <w:pPr>
        <w:spacing w:after="0"/>
        <w:jc w:val="both"/>
        <w:rPr>
          <w:rFonts w:ascii="Verdana" w:hAnsi="Verdana"/>
          <w:b/>
          <w:sz w:val="20"/>
          <w:szCs w:val="20"/>
          <w:lang w:val="es-ES_tradnl"/>
        </w:rPr>
      </w:pPr>
    </w:p>
    <w:p w14:paraId="57370F5E" w14:textId="77777777" w:rsidR="000A09EB" w:rsidRPr="000A09EB" w:rsidRDefault="000A09EB" w:rsidP="000A09EB">
      <w:pPr>
        <w:spacing w:after="0"/>
        <w:jc w:val="both"/>
        <w:rPr>
          <w:rFonts w:ascii="Verdana" w:hAnsi="Verdana"/>
          <w:b/>
          <w:sz w:val="20"/>
          <w:szCs w:val="20"/>
          <w:lang w:val="es-ES_tradnl"/>
        </w:rPr>
      </w:pPr>
    </w:p>
    <w:p w14:paraId="765560BD" w14:textId="77777777" w:rsidR="000A09EB" w:rsidRPr="000A09EB" w:rsidRDefault="000A09EB" w:rsidP="000A09EB">
      <w:pPr>
        <w:spacing w:after="0"/>
        <w:jc w:val="both"/>
        <w:rPr>
          <w:rFonts w:ascii="Verdana" w:hAnsi="Verdana"/>
          <w:b/>
          <w:sz w:val="20"/>
          <w:szCs w:val="20"/>
          <w:lang w:val="es-ES_tradnl"/>
        </w:rPr>
      </w:pPr>
    </w:p>
    <w:p w14:paraId="446D1976" w14:textId="77777777" w:rsidR="000A09EB" w:rsidRPr="000A09EB" w:rsidRDefault="000A09EB" w:rsidP="000A09EB">
      <w:pPr>
        <w:spacing w:after="0"/>
        <w:jc w:val="both"/>
        <w:rPr>
          <w:rFonts w:ascii="Verdana" w:hAnsi="Verdana"/>
          <w:sz w:val="20"/>
          <w:szCs w:val="20"/>
          <w:lang w:val="es-ES_tradnl"/>
        </w:rPr>
      </w:pPr>
    </w:p>
    <w:p w14:paraId="59727F3A" w14:textId="77777777" w:rsidR="000A09EB" w:rsidRPr="00CB7AAB" w:rsidRDefault="000A09EB" w:rsidP="000001A2">
      <w:pPr>
        <w:spacing w:after="0"/>
        <w:rPr>
          <w:rFonts w:ascii="Verdana" w:hAnsi="Verdana"/>
          <w:sz w:val="20"/>
          <w:szCs w:val="20"/>
        </w:rPr>
      </w:pPr>
    </w:p>
    <w:sectPr w:rsidR="000A09EB" w:rsidRPr="00CB7AAB"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ECE0" w14:textId="77777777" w:rsidR="0074712B" w:rsidRDefault="0074712B" w:rsidP="00057BF6">
      <w:pPr>
        <w:spacing w:after="0" w:line="240" w:lineRule="auto"/>
      </w:pPr>
      <w:r>
        <w:separator/>
      </w:r>
    </w:p>
  </w:endnote>
  <w:endnote w:type="continuationSeparator" w:id="0">
    <w:p w14:paraId="4021F413" w14:textId="77777777" w:rsidR="0074712B" w:rsidRDefault="0074712B"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7560A" w14:textId="77777777" w:rsidR="0074712B" w:rsidRDefault="0074712B" w:rsidP="00057BF6">
      <w:pPr>
        <w:spacing w:after="0" w:line="240" w:lineRule="auto"/>
      </w:pPr>
      <w:r>
        <w:separator/>
      </w:r>
    </w:p>
  </w:footnote>
  <w:footnote w:type="continuationSeparator" w:id="0">
    <w:p w14:paraId="375BAD86" w14:textId="77777777" w:rsidR="0074712B" w:rsidRDefault="0074712B"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03F0B"/>
    <w:multiLevelType w:val="hybridMultilevel"/>
    <w:tmpl w:val="F94EAC3C"/>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496F04"/>
    <w:multiLevelType w:val="hybridMultilevel"/>
    <w:tmpl w:val="2A566BC2"/>
    <w:lvl w:ilvl="0" w:tplc="4D82F2B2">
      <w:start w:val="1"/>
      <w:numFmt w:val="lowerLetter"/>
      <w:lvlText w:val="%1."/>
      <w:lvlJc w:val="left"/>
      <w:pPr>
        <w:tabs>
          <w:tab w:val="num" w:pos="724"/>
        </w:tabs>
        <w:ind w:left="724" w:hanging="360"/>
      </w:pPr>
      <w:rPr>
        <w:rFonts w:ascii="Arial" w:eastAsia="Times New Roman" w:hAnsi="Arial" w:cs="Arial"/>
      </w:rPr>
    </w:lvl>
    <w:lvl w:ilvl="1" w:tplc="0C0A000D">
      <w:start w:val="1"/>
      <w:numFmt w:val="bullet"/>
      <w:lvlText w:val=""/>
      <w:lvlJc w:val="left"/>
      <w:pPr>
        <w:tabs>
          <w:tab w:val="num" w:pos="1444"/>
        </w:tabs>
        <w:ind w:left="1444" w:hanging="360"/>
      </w:pPr>
      <w:rPr>
        <w:rFonts w:ascii="Wingdings" w:hAnsi="Wingdings" w:hint="default"/>
      </w:rPr>
    </w:lvl>
    <w:lvl w:ilvl="2" w:tplc="0C0A0005">
      <w:start w:val="1"/>
      <w:numFmt w:val="bullet"/>
      <w:lvlText w:val=""/>
      <w:lvlJc w:val="left"/>
      <w:pPr>
        <w:tabs>
          <w:tab w:val="num" w:pos="2164"/>
        </w:tabs>
        <w:ind w:left="2164" w:hanging="360"/>
      </w:pPr>
      <w:rPr>
        <w:rFonts w:ascii="Wingdings" w:hAnsi="Wingdings" w:hint="default"/>
      </w:rPr>
    </w:lvl>
    <w:lvl w:ilvl="3" w:tplc="0C0A0001">
      <w:start w:val="1"/>
      <w:numFmt w:val="bullet"/>
      <w:lvlText w:val=""/>
      <w:lvlJc w:val="left"/>
      <w:pPr>
        <w:tabs>
          <w:tab w:val="num" w:pos="2884"/>
        </w:tabs>
        <w:ind w:left="2884" w:hanging="360"/>
      </w:pPr>
      <w:rPr>
        <w:rFonts w:ascii="Symbol" w:hAnsi="Symbol" w:hint="default"/>
      </w:rPr>
    </w:lvl>
    <w:lvl w:ilvl="4" w:tplc="0C0A0003">
      <w:start w:val="1"/>
      <w:numFmt w:val="bullet"/>
      <w:lvlText w:val="o"/>
      <w:lvlJc w:val="left"/>
      <w:pPr>
        <w:tabs>
          <w:tab w:val="num" w:pos="3604"/>
        </w:tabs>
        <w:ind w:left="3604" w:hanging="360"/>
      </w:pPr>
      <w:rPr>
        <w:rFonts w:ascii="Courier New" w:hAnsi="Courier New" w:cs="Courier New" w:hint="default"/>
      </w:rPr>
    </w:lvl>
    <w:lvl w:ilvl="5" w:tplc="0C0A0005">
      <w:start w:val="1"/>
      <w:numFmt w:val="bullet"/>
      <w:lvlText w:val=""/>
      <w:lvlJc w:val="left"/>
      <w:pPr>
        <w:tabs>
          <w:tab w:val="num" w:pos="4324"/>
        </w:tabs>
        <w:ind w:left="4324" w:hanging="360"/>
      </w:pPr>
      <w:rPr>
        <w:rFonts w:ascii="Wingdings" w:hAnsi="Wingdings" w:hint="default"/>
      </w:rPr>
    </w:lvl>
    <w:lvl w:ilvl="6" w:tplc="0C0A0001">
      <w:start w:val="1"/>
      <w:numFmt w:val="bullet"/>
      <w:lvlText w:val=""/>
      <w:lvlJc w:val="left"/>
      <w:pPr>
        <w:tabs>
          <w:tab w:val="num" w:pos="5044"/>
        </w:tabs>
        <w:ind w:left="5044" w:hanging="360"/>
      </w:pPr>
      <w:rPr>
        <w:rFonts w:ascii="Symbol" w:hAnsi="Symbol" w:hint="default"/>
      </w:rPr>
    </w:lvl>
    <w:lvl w:ilvl="7" w:tplc="0C0A0003">
      <w:start w:val="1"/>
      <w:numFmt w:val="bullet"/>
      <w:lvlText w:val="o"/>
      <w:lvlJc w:val="left"/>
      <w:pPr>
        <w:tabs>
          <w:tab w:val="num" w:pos="5764"/>
        </w:tabs>
        <w:ind w:left="5764" w:hanging="360"/>
      </w:pPr>
      <w:rPr>
        <w:rFonts w:ascii="Courier New" w:hAnsi="Courier New" w:cs="Courier New" w:hint="default"/>
      </w:rPr>
    </w:lvl>
    <w:lvl w:ilvl="8" w:tplc="0C0A0005">
      <w:start w:val="1"/>
      <w:numFmt w:val="bullet"/>
      <w:lvlText w:val=""/>
      <w:lvlJc w:val="left"/>
      <w:pPr>
        <w:tabs>
          <w:tab w:val="num" w:pos="6484"/>
        </w:tabs>
        <w:ind w:left="6484" w:hanging="360"/>
      </w:pPr>
      <w:rPr>
        <w:rFonts w:ascii="Wingdings" w:hAnsi="Wingdings" w:hint="default"/>
      </w:rPr>
    </w:lvl>
  </w:abstractNum>
  <w:abstractNum w:abstractNumId="2" w15:restartNumberingAfterBreak="0">
    <w:nsid w:val="14B9296D"/>
    <w:multiLevelType w:val="hybridMultilevel"/>
    <w:tmpl w:val="072A5312"/>
    <w:lvl w:ilvl="0" w:tplc="E16445C0">
      <w:start w:val="1"/>
      <w:numFmt w:val="lowerLetter"/>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3" w15:restartNumberingAfterBreak="0">
    <w:nsid w:val="18CC07C6"/>
    <w:multiLevelType w:val="hybridMultilevel"/>
    <w:tmpl w:val="D572128E"/>
    <w:lvl w:ilvl="0" w:tplc="CB1A197A">
      <w:numFmt w:val="bullet"/>
      <w:lvlText w:val="•"/>
      <w:lvlJc w:val="left"/>
      <w:pPr>
        <w:ind w:left="708" w:hanging="708"/>
      </w:pPr>
      <w:rPr>
        <w:rFonts w:ascii="Arial" w:eastAsia="Times New Roman" w:hAnsi="Arial" w:cs="Aria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 w15:restartNumberingAfterBreak="0">
    <w:nsid w:val="1A057338"/>
    <w:multiLevelType w:val="hybridMultilevel"/>
    <w:tmpl w:val="9CE45C7E"/>
    <w:lvl w:ilvl="0" w:tplc="8FC4C2D2">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1BB40DE7"/>
    <w:multiLevelType w:val="multilevel"/>
    <w:tmpl w:val="153A965C"/>
    <w:lvl w:ilvl="0">
      <w:start w:val="2"/>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21DB00AF"/>
    <w:multiLevelType w:val="hybridMultilevel"/>
    <w:tmpl w:val="7B66680E"/>
    <w:lvl w:ilvl="0" w:tplc="737250BE">
      <w:start w:val="1"/>
      <w:numFmt w:val="upperLetter"/>
      <w:lvlText w:val="%1."/>
      <w:lvlJc w:val="left"/>
      <w:pPr>
        <w:ind w:left="360" w:hanging="360"/>
      </w:pPr>
      <w:rPr>
        <w:rFonts w:ascii="Verdana" w:eastAsiaTheme="minorHAnsi" w:hAnsi="Verdana" w:cstheme="minorBidi"/>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7" w15:restartNumberingAfterBreak="0">
    <w:nsid w:val="265661BD"/>
    <w:multiLevelType w:val="hybridMultilevel"/>
    <w:tmpl w:val="BBE60D4C"/>
    <w:lvl w:ilvl="0" w:tplc="CA5CCD2C">
      <w:start w:val="1"/>
      <w:numFmt w:val="lowerRoman"/>
      <w:lvlText w:val="(%1)"/>
      <w:lvlJc w:val="left"/>
      <w:pPr>
        <w:ind w:left="720" w:hanging="360"/>
      </w:pPr>
      <w:rPr>
        <w:b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2A9D7A08"/>
    <w:multiLevelType w:val="multilevel"/>
    <w:tmpl w:val="AAD2CBC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2B9B2691"/>
    <w:multiLevelType w:val="hybridMultilevel"/>
    <w:tmpl w:val="00A62F76"/>
    <w:lvl w:ilvl="0" w:tplc="E74A91C0">
      <w:start w:val="1"/>
      <w:numFmt w:val="upperLetter"/>
      <w:lvlText w:val="%1."/>
      <w:lvlJc w:val="left"/>
      <w:pPr>
        <w:ind w:left="2520" w:hanging="360"/>
      </w:pPr>
      <w:rPr>
        <w:rFonts w:hint="default"/>
      </w:rPr>
    </w:lvl>
    <w:lvl w:ilvl="1" w:tplc="240A0019" w:tentative="1">
      <w:start w:val="1"/>
      <w:numFmt w:val="lowerLetter"/>
      <w:lvlText w:val="%2."/>
      <w:lvlJc w:val="left"/>
      <w:pPr>
        <w:ind w:left="3240" w:hanging="360"/>
      </w:pPr>
    </w:lvl>
    <w:lvl w:ilvl="2" w:tplc="240A001B">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10" w15:restartNumberingAfterBreak="0">
    <w:nsid w:val="2C672F16"/>
    <w:multiLevelType w:val="hybridMultilevel"/>
    <w:tmpl w:val="EA7E820E"/>
    <w:lvl w:ilvl="0" w:tplc="E2E2761E">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2DC403D0"/>
    <w:multiLevelType w:val="hybridMultilevel"/>
    <w:tmpl w:val="E8C428CC"/>
    <w:lvl w:ilvl="0" w:tplc="2B527488">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31AA7D67"/>
    <w:multiLevelType w:val="hybridMultilevel"/>
    <w:tmpl w:val="DA72EC4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37B01778"/>
    <w:multiLevelType w:val="hybridMultilevel"/>
    <w:tmpl w:val="07BC1D80"/>
    <w:lvl w:ilvl="0" w:tplc="40880642">
      <w:start w:val="1"/>
      <w:numFmt w:val="lowerRoman"/>
      <w:lvlText w:val="(%1)"/>
      <w:lvlJc w:val="left"/>
      <w:pPr>
        <w:ind w:left="720" w:hanging="72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4" w15:restartNumberingAfterBreak="0">
    <w:nsid w:val="3A46412C"/>
    <w:multiLevelType w:val="hybridMultilevel"/>
    <w:tmpl w:val="0788473A"/>
    <w:lvl w:ilvl="0" w:tplc="6D745D3E">
      <w:start w:val="1"/>
      <w:numFmt w:val="lowerRoman"/>
      <w:lvlText w:val="(%1)"/>
      <w:lvlJc w:val="left"/>
      <w:pPr>
        <w:ind w:left="720" w:hanging="72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5" w15:restartNumberingAfterBreak="0">
    <w:nsid w:val="433A3D38"/>
    <w:multiLevelType w:val="hybridMultilevel"/>
    <w:tmpl w:val="4ECC418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6F26781"/>
    <w:multiLevelType w:val="hybridMultilevel"/>
    <w:tmpl w:val="FDB83E98"/>
    <w:lvl w:ilvl="0" w:tplc="240A0017">
      <w:start w:val="1"/>
      <w:numFmt w:val="lowerLetter"/>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7" w15:restartNumberingAfterBreak="0">
    <w:nsid w:val="47111A7A"/>
    <w:multiLevelType w:val="multilevel"/>
    <w:tmpl w:val="DD86EF0C"/>
    <w:lvl w:ilvl="0">
      <w:start w:val="4"/>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18" w15:restartNumberingAfterBreak="0">
    <w:nsid w:val="492900AD"/>
    <w:multiLevelType w:val="hybridMultilevel"/>
    <w:tmpl w:val="65223C6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C924DC1"/>
    <w:multiLevelType w:val="hybridMultilevel"/>
    <w:tmpl w:val="BA562AB0"/>
    <w:lvl w:ilvl="0" w:tplc="402E979C">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D6E3517"/>
    <w:multiLevelType w:val="hybridMultilevel"/>
    <w:tmpl w:val="F3A6B49E"/>
    <w:lvl w:ilvl="0" w:tplc="D72E81B6">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53FE0220"/>
    <w:multiLevelType w:val="hybridMultilevel"/>
    <w:tmpl w:val="B360E5FC"/>
    <w:lvl w:ilvl="0" w:tplc="A7527A9C">
      <w:start w:val="1"/>
      <w:numFmt w:val="lowerRoman"/>
      <w:lvlText w:val="%1."/>
      <w:lvlJc w:val="left"/>
      <w:pPr>
        <w:ind w:left="719" w:hanging="360"/>
      </w:pPr>
      <w:rPr>
        <w:rFonts w:ascii="Verdana" w:eastAsiaTheme="minorHAnsi" w:hAnsi="Verdana" w:cstheme="minorBidi"/>
      </w:rPr>
    </w:lvl>
    <w:lvl w:ilvl="1" w:tplc="240A0019">
      <w:start w:val="1"/>
      <w:numFmt w:val="lowerLetter"/>
      <w:lvlText w:val="%2."/>
      <w:lvlJc w:val="left"/>
      <w:pPr>
        <w:ind w:left="1439" w:hanging="360"/>
      </w:pPr>
    </w:lvl>
    <w:lvl w:ilvl="2" w:tplc="240A001B">
      <w:start w:val="1"/>
      <w:numFmt w:val="lowerRoman"/>
      <w:lvlText w:val="%3."/>
      <w:lvlJc w:val="right"/>
      <w:pPr>
        <w:ind w:left="2159" w:hanging="180"/>
      </w:pPr>
    </w:lvl>
    <w:lvl w:ilvl="3" w:tplc="240A000F">
      <w:start w:val="1"/>
      <w:numFmt w:val="decimal"/>
      <w:lvlText w:val="%4."/>
      <w:lvlJc w:val="left"/>
      <w:pPr>
        <w:ind w:left="2879" w:hanging="360"/>
      </w:pPr>
    </w:lvl>
    <w:lvl w:ilvl="4" w:tplc="240A0019">
      <w:start w:val="1"/>
      <w:numFmt w:val="lowerLetter"/>
      <w:lvlText w:val="%5."/>
      <w:lvlJc w:val="left"/>
      <w:pPr>
        <w:ind w:left="3599" w:hanging="360"/>
      </w:pPr>
    </w:lvl>
    <w:lvl w:ilvl="5" w:tplc="240A001B">
      <w:start w:val="1"/>
      <w:numFmt w:val="lowerRoman"/>
      <w:lvlText w:val="%6."/>
      <w:lvlJc w:val="right"/>
      <w:pPr>
        <w:ind w:left="4319" w:hanging="180"/>
      </w:pPr>
    </w:lvl>
    <w:lvl w:ilvl="6" w:tplc="240A000F">
      <w:start w:val="1"/>
      <w:numFmt w:val="decimal"/>
      <w:lvlText w:val="%7."/>
      <w:lvlJc w:val="left"/>
      <w:pPr>
        <w:ind w:left="5039" w:hanging="360"/>
      </w:pPr>
    </w:lvl>
    <w:lvl w:ilvl="7" w:tplc="240A0019">
      <w:start w:val="1"/>
      <w:numFmt w:val="lowerLetter"/>
      <w:lvlText w:val="%8."/>
      <w:lvlJc w:val="left"/>
      <w:pPr>
        <w:ind w:left="5759" w:hanging="360"/>
      </w:pPr>
    </w:lvl>
    <w:lvl w:ilvl="8" w:tplc="240A001B">
      <w:start w:val="1"/>
      <w:numFmt w:val="lowerRoman"/>
      <w:lvlText w:val="%9."/>
      <w:lvlJc w:val="right"/>
      <w:pPr>
        <w:ind w:left="6479" w:hanging="180"/>
      </w:pPr>
    </w:lvl>
  </w:abstractNum>
  <w:abstractNum w:abstractNumId="22"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651B164F"/>
    <w:multiLevelType w:val="hybridMultilevel"/>
    <w:tmpl w:val="2042F6FA"/>
    <w:lvl w:ilvl="0" w:tplc="CB1A197A">
      <w:numFmt w:val="bullet"/>
      <w:lvlText w:val="•"/>
      <w:lvlJc w:val="left"/>
      <w:pPr>
        <w:ind w:left="708" w:hanging="708"/>
      </w:pPr>
      <w:rPr>
        <w:rFonts w:ascii="Arial" w:eastAsia="Times New Roman" w:hAnsi="Arial" w:cs="Aria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4" w15:restartNumberingAfterBreak="0">
    <w:nsid w:val="66B170B6"/>
    <w:multiLevelType w:val="hybridMultilevel"/>
    <w:tmpl w:val="A636E21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4A94289"/>
    <w:multiLevelType w:val="hybridMultilevel"/>
    <w:tmpl w:val="E474BEC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58B241B"/>
    <w:multiLevelType w:val="hybridMultilevel"/>
    <w:tmpl w:val="E474BEC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7BD44DC3"/>
    <w:multiLevelType w:val="hybridMultilevel"/>
    <w:tmpl w:val="D76000E6"/>
    <w:lvl w:ilvl="0" w:tplc="240A0017">
      <w:start w:val="1"/>
      <w:numFmt w:val="lowerLetter"/>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8" w15:restartNumberingAfterBreak="0">
    <w:nsid w:val="7C506062"/>
    <w:multiLevelType w:val="hybridMultilevel"/>
    <w:tmpl w:val="9F2A826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FBE6D1D"/>
    <w:multiLevelType w:val="hybridMultilevel"/>
    <w:tmpl w:val="4E98A55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8432656">
    <w:abstractNumId w:val="22"/>
  </w:num>
  <w:num w:numId="2" w16cid:durableId="154691404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871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04982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3418371">
    <w:abstractNumId w:val="6"/>
    <w:lvlOverride w:ilvl="0">
      <w:startOverride w:val="1"/>
    </w:lvlOverride>
    <w:lvlOverride w:ilvl="1"/>
    <w:lvlOverride w:ilvl="2"/>
    <w:lvlOverride w:ilvl="3"/>
    <w:lvlOverride w:ilvl="4"/>
    <w:lvlOverride w:ilvl="5"/>
    <w:lvlOverride w:ilvl="6"/>
    <w:lvlOverride w:ilvl="7"/>
    <w:lvlOverride w:ilvl="8"/>
  </w:num>
  <w:num w:numId="6" w16cid:durableId="1381515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5009807">
    <w:abstractNumId w:val="23"/>
  </w:num>
  <w:num w:numId="8" w16cid:durableId="1910004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7818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0323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5918077">
    <w:abstractNumId w:val="3"/>
  </w:num>
  <w:num w:numId="12" w16cid:durableId="8464823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61082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8575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1898842">
    <w:abstractNumId w:val="5"/>
    <w:lvlOverride w:ilvl="0">
      <w:startOverride w:val="2"/>
    </w:lvlOverride>
    <w:lvlOverride w:ilvl="1">
      <w:startOverride w:val="5"/>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46780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35526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27808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420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13440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9062761">
    <w:abstractNumId w:val="18"/>
  </w:num>
  <w:num w:numId="22" w16cid:durableId="861473887">
    <w:abstractNumId w:val="28"/>
  </w:num>
  <w:num w:numId="23" w16cid:durableId="1425495205">
    <w:abstractNumId w:val="0"/>
  </w:num>
  <w:num w:numId="24" w16cid:durableId="1437753738">
    <w:abstractNumId w:val="29"/>
  </w:num>
  <w:num w:numId="25" w16cid:durableId="364529475">
    <w:abstractNumId w:val="11"/>
  </w:num>
  <w:num w:numId="26" w16cid:durableId="1264730372">
    <w:abstractNumId w:val="9"/>
  </w:num>
  <w:num w:numId="27" w16cid:durableId="13885277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43591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6536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956191">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34168"/>
    <w:rsid w:val="00057BF6"/>
    <w:rsid w:val="0006736C"/>
    <w:rsid w:val="00087EBE"/>
    <w:rsid w:val="000A09EB"/>
    <w:rsid w:val="000B267E"/>
    <w:rsid w:val="00101641"/>
    <w:rsid w:val="00113420"/>
    <w:rsid w:val="00115A42"/>
    <w:rsid w:val="00131132"/>
    <w:rsid w:val="001631D0"/>
    <w:rsid w:val="00165181"/>
    <w:rsid w:val="00166454"/>
    <w:rsid w:val="001B5187"/>
    <w:rsid w:val="001E0620"/>
    <w:rsid w:val="001E180A"/>
    <w:rsid w:val="001F1B57"/>
    <w:rsid w:val="0021666A"/>
    <w:rsid w:val="002528CB"/>
    <w:rsid w:val="002B4F4A"/>
    <w:rsid w:val="002C27BA"/>
    <w:rsid w:val="002E7DE4"/>
    <w:rsid w:val="002F5CF4"/>
    <w:rsid w:val="00332D7A"/>
    <w:rsid w:val="00354E5C"/>
    <w:rsid w:val="00371171"/>
    <w:rsid w:val="00376786"/>
    <w:rsid w:val="003917DC"/>
    <w:rsid w:val="003A5CFE"/>
    <w:rsid w:val="003C558F"/>
    <w:rsid w:val="0040498E"/>
    <w:rsid w:val="00405030"/>
    <w:rsid w:val="00406D2B"/>
    <w:rsid w:val="0043223D"/>
    <w:rsid w:val="00432A9D"/>
    <w:rsid w:val="004709C7"/>
    <w:rsid w:val="004C069E"/>
    <w:rsid w:val="004F1F88"/>
    <w:rsid w:val="00502C59"/>
    <w:rsid w:val="0055785C"/>
    <w:rsid w:val="00596B88"/>
    <w:rsid w:val="0061423F"/>
    <w:rsid w:val="006901FD"/>
    <w:rsid w:val="006B11D4"/>
    <w:rsid w:val="00721D02"/>
    <w:rsid w:val="0072560C"/>
    <w:rsid w:val="0074589F"/>
    <w:rsid w:val="00746AC4"/>
    <w:rsid w:val="0074712B"/>
    <w:rsid w:val="00747DE1"/>
    <w:rsid w:val="00764F91"/>
    <w:rsid w:val="007A302E"/>
    <w:rsid w:val="008170D3"/>
    <w:rsid w:val="00842BD7"/>
    <w:rsid w:val="00921302"/>
    <w:rsid w:val="00932C6D"/>
    <w:rsid w:val="00956EC8"/>
    <w:rsid w:val="009571FD"/>
    <w:rsid w:val="00971CB1"/>
    <w:rsid w:val="00977A31"/>
    <w:rsid w:val="009A2823"/>
    <w:rsid w:val="009B1A42"/>
    <w:rsid w:val="009B6D85"/>
    <w:rsid w:val="009D1CDF"/>
    <w:rsid w:val="009D6127"/>
    <w:rsid w:val="009D68C8"/>
    <w:rsid w:val="00A41E5E"/>
    <w:rsid w:val="00A602E9"/>
    <w:rsid w:val="00A713A9"/>
    <w:rsid w:val="00AA4C00"/>
    <w:rsid w:val="00AC269C"/>
    <w:rsid w:val="00AD57E9"/>
    <w:rsid w:val="00AE2444"/>
    <w:rsid w:val="00BE1EA2"/>
    <w:rsid w:val="00C1360E"/>
    <w:rsid w:val="00C84C44"/>
    <w:rsid w:val="00CA7A07"/>
    <w:rsid w:val="00CB7AAB"/>
    <w:rsid w:val="00CC3647"/>
    <w:rsid w:val="00CC6142"/>
    <w:rsid w:val="00CD0A6D"/>
    <w:rsid w:val="00CE4648"/>
    <w:rsid w:val="00D018BA"/>
    <w:rsid w:val="00D23364"/>
    <w:rsid w:val="00D34375"/>
    <w:rsid w:val="00D76222"/>
    <w:rsid w:val="00DA0C0E"/>
    <w:rsid w:val="00DB3370"/>
    <w:rsid w:val="00DB53A5"/>
    <w:rsid w:val="00E0224C"/>
    <w:rsid w:val="00E03CCC"/>
    <w:rsid w:val="00E52ADE"/>
    <w:rsid w:val="00EA3155"/>
    <w:rsid w:val="00EC0C34"/>
    <w:rsid w:val="00EE2DB0"/>
    <w:rsid w:val="00EF7313"/>
    <w:rsid w:val="00F0000F"/>
    <w:rsid w:val="00F41330"/>
    <w:rsid w:val="00F66145"/>
    <w:rsid w:val="00FF0593"/>
    <w:rsid w:val="16C0BC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3403C498-5C09-4B3F-B6B6-E976A3244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table" w:styleId="Tablaconcuadrcula">
    <w:name w:val="Table Grid"/>
    <w:basedOn w:val="Tablanormal"/>
    <w:uiPriority w:val="39"/>
    <w:rsid w:val="009D1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77A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402872">
      <w:bodyDiv w:val="1"/>
      <w:marLeft w:val="0"/>
      <w:marRight w:val="0"/>
      <w:marTop w:val="0"/>
      <w:marBottom w:val="0"/>
      <w:divBdr>
        <w:top w:val="none" w:sz="0" w:space="0" w:color="auto"/>
        <w:left w:val="none" w:sz="0" w:space="0" w:color="auto"/>
        <w:bottom w:val="none" w:sz="0" w:space="0" w:color="auto"/>
        <w:right w:val="none" w:sz="0" w:space="0" w:color="auto"/>
      </w:divBdr>
    </w:div>
    <w:div w:id="152136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A9E4D1-A289-46C7-BC57-9BE83A81B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960</Words>
  <Characters>5498</Characters>
  <Application>Microsoft Office Word</Application>
  <DocSecurity>0</DocSecurity>
  <Lines>139</Lines>
  <Paragraphs>45</Paragraphs>
  <ScaleCrop>false</ScaleCrop>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75</cp:revision>
  <dcterms:created xsi:type="dcterms:W3CDTF">2024-10-16T04:45:00Z</dcterms:created>
  <dcterms:modified xsi:type="dcterms:W3CDTF">2026-04-13T15:25:00Z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91500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